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AF" w:rsidRDefault="004D78AF" w:rsidP="004D78AF">
      <w:pPr>
        <w:spacing w:line="560" w:lineRule="exact"/>
        <w:rPr>
          <w:rFonts w:eastAsia="黑体"/>
          <w:sz w:val="32"/>
        </w:rPr>
      </w:pPr>
      <w:r>
        <w:rPr>
          <w:rFonts w:eastAsia="黑体" w:hint="eastAsia"/>
          <w:sz w:val="32"/>
        </w:rPr>
        <w:t>附件</w:t>
      </w:r>
    </w:p>
    <w:p w:rsidR="004D78AF" w:rsidRDefault="004D78AF" w:rsidP="004D78AF">
      <w:pPr>
        <w:spacing w:line="520" w:lineRule="exact"/>
        <w:rPr>
          <w:rFonts w:eastAsia="仿宋_GB2312"/>
          <w:sz w:val="32"/>
        </w:rPr>
      </w:pPr>
    </w:p>
    <w:p w:rsidR="004D78AF" w:rsidRDefault="004D78AF" w:rsidP="004D78AF">
      <w:pPr>
        <w:spacing w:line="52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县级年度耕地</w:t>
      </w:r>
      <w:r>
        <w:rPr>
          <w:rFonts w:eastAsia="方正小标宋简体"/>
          <w:sz w:val="40"/>
          <w:szCs w:val="40"/>
        </w:rPr>
        <w:t>“</w:t>
      </w:r>
      <w:r>
        <w:rPr>
          <w:rFonts w:eastAsia="方正小标宋简体" w:hint="eastAsia"/>
          <w:sz w:val="40"/>
          <w:szCs w:val="40"/>
        </w:rPr>
        <w:t>进出平衡</w:t>
      </w:r>
      <w:r>
        <w:rPr>
          <w:rFonts w:eastAsia="方正小标宋简体"/>
          <w:sz w:val="40"/>
          <w:szCs w:val="40"/>
        </w:rPr>
        <w:t>”</w:t>
      </w:r>
      <w:r>
        <w:rPr>
          <w:rFonts w:eastAsia="方正小标宋简体" w:hint="eastAsia"/>
          <w:sz w:val="40"/>
          <w:szCs w:val="40"/>
        </w:rPr>
        <w:t>总体方案编制大纲</w:t>
      </w:r>
    </w:p>
    <w:p w:rsidR="004D78AF" w:rsidRDefault="004D78AF" w:rsidP="004D78AF">
      <w:pPr>
        <w:spacing w:line="520" w:lineRule="exact"/>
        <w:ind w:firstLine="640"/>
        <w:rPr>
          <w:rFonts w:eastAsia="仿宋_GB2312"/>
          <w:sz w:val="32"/>
        </w:rPr>
      </w:pPr>
    </w:p>
    <w:p w:rsidR="004D78AF" w:rsidRDefault="004D78AF" w:rsidP="004D78AF">
      <w:pPr>
        <w:spacing w:line="560" w:lineRule="exact"/>
        <w:ind w:firstLine="640"/>
        <w:rPr>
          <w:rFonts w:eastAsia="黑体"/>
          <w:sz w:val="32"/>
        </w:rPr>
      </w:pPr>
      <w:r>
        <w:rPr>
          <w:rFonts w:eastAsia="黑体" w:hint="eastAsia"/>
          <w:sz w:val="32"/>
        </w:rPr>
        <w:t>一、总则</w:t>
      </w:r>
      <w:bookmarkStart w:id="0" w:name="_GoBack"/>
      <w:bookmarkEnd w:id="0"/>
    </w:p>
    <w:p w:rsidR="004D78AF" w:rsidRDefault="004D78AF" w:rsidP="004D78AF">
      <w:pPr>
        <w:spacing w:line="560" w:lineRule="exact"/>
        <w:ind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包括编制背景、编制目的、编制依据等。</w:t>
      </w:r>
    </w:p>
    <w:p w:rsidR="004D78AF" w:rsidRDefault="004D78AF" w:rsidP="004D78AF">
      <w:pPr>
        <w:spacing w:line="560" w:lineRule="exact"/>
        <w:ind w:firstLine="640"/>
        <w:rPr>
          <w:rFonts w:eastAsia="黑体"/>
          <w:sz w:val="32"/>
        </w:rPr>
      </w:pPr>
      <w:r>
        <w:rPr>
          <w:rFonts w:eastAsia="黑体" w:hint="eastAsia"/>
          <w:sz w:val="32"/>
        </w:rPr>
        <w:t>二、县域概况</w:t>
      </w:r>
    </w:p>
    <w:p w:rsidR="004D78AF" w:rsidRDefault="004D78AF" w:rsidP="004D78AF">
      <w:pPr>
        <w:spacing w:line="560" w:lineRule="exact"/>
        <w:ind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包括县域内土地利用现状、一般耕地数量及质量情况、复耕耕地后备资源潜力情况、上一年度耕地</w:t>
      </w:r>
      <w:r>
        <w:rPr>
          <w:rFonts w:eastAsia="仿宋_GB2312"/>
          <w:sz w:val="32"/>
        </w:rPr>
        <w:t>“</w:t>
      </w:r>
      <w:r>
        <w:rPr>
          <w:rFonts w:eastAsia="仿宋_GB2312" w:hint="eastAsia"/>
          <w:sz w:val="32"/>
        </w:rPr>
        <w:t>进出平衡</w:t>
      </w:r>
      <w:r>
        <w:rPr>
          <w:rFonts w:eastAsia="仿宋_GB2312"/>
          <w:sz w:val="32"/>
        </w:rPr>
        <w:t>”</w:t>
      </w:r>
      <w:r>
        <w:rPr>
          <w:rFonts w:eastAsia="仿宋_GB2312" w:hint="eastAsia"/>
          <w:sz w:val="32"/>
        </w:rPr>
        <w:t>总体方案落实情况等。</w:t>
      </w:r>
    </w:p>
    <w:p w:rsidR="004D78AF" w:rsidRDefault="004D78AF" w:rsidP="004D78AF">
      <w:pPr>
        <w:spacing w:line="560" w:lineRule="exact"/>
        <w:ind w:firstLine="640"/>
        <w:rPr>
          <w:rFonts w:eastAsia="黑体"/>
          <w:sz w:val="32"/>
        </w:rPr>
      </w:pPr>
      <w:r>
        <w:rPr>
          <w:rFonts w:eastAsia="黑体" w:hint="eastAsia"/>
          <w:sz w:val="32"/>
        </w:rPr>
        <w:t>三、年度耕地</w:t>
      </w:r>
      <w:r>
        <w:rPr>
          <w:rFonts w:eastAsia="黑体"/>
          <w:sz w:val="32"/>
        </w:rPr>
        <w:t>“</w:t>
      </w:r>
      <w:r>
        <w:rPr>
          <w:rFonts w:eastAsia="黑体" w:hint="eastAsia"/>
          <w:sz w:val="32"/>
        </w:rPr>
        <w:t>进出平衡</w:t>
      </w:r>
      <w:r>
        <w:rPr>
          <w:rFonts w:eastAsia="黑体"/>
          <w:sz w:val="32"/>
        </w:rPr>
        <w:t>”</w:t>
      </w:r>
      <w:r>
        <w:rPr>
          <w:rFonts w:eastAsia="黑体" w:hint="eastAsia"/>
          <w:sz w:val="32"/>
        </w:rPr>
        <w:t>方案</w:t>
      </w:r>
    </w:p>
    <w:p w:rsidR="004D78AF" w:rsidRDefault="004D78AF" w:rsidP="004D78AF">
      <w:pPr>
        <w:spacing w:line="560" w:lineRule="exact"/>
        <w:ind w:firstLine="643"/>
        <w:rPr>
          <w:rFonts w:eastAsia="楷体_GB2312"/>
          <w:b/>
          <w:sz w:val="32"/>
        </w:rPr>
      </w:pPr>
      <w:r>
        <w:rPr>
          <w:rFonts w:eastAsia="楷体_GB2312" w:hint="eastAsia"/>
          <w:b/>
          <w:sz w:val="32"/>
        </w:rPr>
        <w:t>（一）年度</w:t>
      </w:r>
      <w:r>
        <w:rPr>
          <w:rFonts w:eastAsia="楷体_GB2312"/>
          <w:b/>
          <w:sz w:val="32"/>
        </w:rPr>
        <w:t>“</w:t>
      </w:r>
      <w:r>
        <w:rPr>
          <w:rFonts w:eastAsia="楷体_GB2312" w:hint="eastAsia"/>
          <w:b/>
          <w:sz w:val="32"/>
        </w:rPr>
        <w:t>耕地流入</w:t>
      </w:r>
      <w:r>
        <w:rPr>
          <w:rFonts w:eastAsia="楷体_GB2312"/>
          <w:b/>
          <w:sz w:val="32"/>
        </w:rPr>
        <w:t>”</w:t>
      </w:r>
      <w:r>
        <w:rPr>
          <w:rFonts w:eastAsia="楷体_GB2312" w:hint="eastAsia"/>
          <w:b/>
          <w:sz w:val="32"/>
        </w:rPr>
        <w:t>情况。</w:t>
      </w:r>
    </w:p>
    <w:p w:rsidR="004D78AF" w:rsidRDefault="004D78AF" w:rsidP="004D78AF">
      <w:pPr>
        <w:spacing w:line="560" w:lineRule="exact"/>
        <w:ind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包括</w:t>
      </w:r>
      <w:r>
        <w:rPr>
          <w:rFonts w:eastAsia="仿宋_GB2312"/>
          <w:sz w:val="32"/>
        </w:rPr>
        <w:t>“</w:t>
      </w:r>
      <w:r>
        <w:rPr>
          <w:rFonts w:eastAsia="仿宋_GB2312" w:hint="eastAsia"/>
          <w:sz w:val="32"/>
        </w:rPr>
        <w:t>耕地流入</w:t>
      </w:r>
      <w:r>
        <w:rPr>
          <w:rFonts w:eastAsia="仿宋_GB2312"/>
          <w:sz w:val="32"/>
        </w:rPr>
        <w:t>”</w:t>
      </w:r>
      <w:r>
        <w:rPr>
          <w:rFonts w:eastAsia="仿宋_GB2312" w:hint="eastAsia"/>
          <w:sz w:val="32"/>
        </w:rPr>
        <w:t>分布、面积、图斑个数，集中连片度，现状地类、权属，拟复耕的耕地</w:t>
      </w:r>
      <w:proofErr w:type="gramStart"/>
      <w:r>
        <w:rPr>
          <w:rFonts w:eastAsia="仿宋_GB2312" w:hint="eastAsia"/>
          <w:sz w:val="32"/>
        </w:rPr>
        <w:t>地</w:t>
      </w:r>
      <w:proofErr w:type="gramEnd"/>
      <w:r>
        <w:rPr>
          <w:rFonts w:eastAsia="仿宋_GB2312" w:hint="eastAsia"/>
          <w:sz w:val="32"/>
        </w:rPr>
        <w:t>类及质量等别，实施主体、实施方式等；</w:t>
      </w:r>
      <w:r>
        <w:rPr>
          <w:rFonts w:eastAsia="仿宋_GB2312"/>
          <w:sz w:val="32"/>
        </w:rPr>
        <w:t>“</w:t>
      </w:r>
      <w:r>
        <w:rPr>
          <w:rFonts w:eastAsia="仿宋_GB2312" w:hint="eastAsia"/>
          <w:sz w:val="32"/>
        </w:rPr>
        <w:t>耕地流入</w:t>
      </w:r>
      <w:r>
        <w:rPr>
          <w:rFonts w:eastAsia="仿宋_GB2312"/>
          <w:sz w:val="32"/>
        </w:rPr>
        <w:t>”</w:t>
      </w:r>
      <w:r>
        <w:rPr>
          <w:rFonts w:eastAsia="仿宋_GB2312" w:hint="eastAsia"/>
          <w:sz w:val="32"/>
        </w:rPr>
        <w:t>区域的国土空间规划分区和规划用地类型，是否涉及三条控制线，是否符合国土空间规划的有关管控要求；相关权利人意见征求情况；复耕后的后期管护情况。对林地流入耕地的，需提供县级林业主管部门书面意见。</w:t>
      </w:r>
    </w:p>
    <w:p w:rsidR="004D78AF" w:rsidRDefault="004D78AF" w:rsidP="004D78AF">
      <w:pPr>
        <w:spacing w:line="560" w:lineRule="exact"/>
        <w:ind w:firstLine="643"/>
        <w:rPr>
          <w:rFonts w:eastAsia="楷体_GB2312"/>
          <w:b/>
          <w:sz w:val="32"/>
        </w:rPr>
      </w:pPr>
      <w:r>
        <w:rPr>
          <w:rFonts w:eastAsia="楷体_GB2312" w:hint="eastAsia"/>
          <w:b/>
          <w:sz w:val="32"/>
        </w:rPr>
        <w:t>（二）年度</w:t>
      </w:r>
      <w:r>
        <w:rPr>
          <w:rFonts w:eastAsia="楷体_GB2312"/>
          <w:b/>
          <w:sz w:val="32"/>
        </w:rPr>
        <w:t>“</w:t>
      </w:r>
      <w:r>
        <w:rPr>
          <w:rFonts w:eastAsia="楷体_GB2312" w:hint="eastAsia"/>
          <w:b/>
          <w:sz w:val="32"/>
        </w:rPr>
        <w:t>耕地流出</w:t>
      </w:r>
      <w:r>
        <w:rPr>
          <w:rFonts w:eastAsia="楷体_GB2312"/>
          <w:b/>
          <w:sz w:val="32"/>
        </w:rPr>
        <w:t>”</w:t>
      </w:r>
      <w:r>
        <w:rPr>
          <w:rFonts w:eastAsia="楷体_GB2312" w:hint="eastAsia"/>
          <w:b/>
          <w:sz w:val="32"/>
        </w:rPr>
        <w:t>情况。</w:t>
      </w:r>
    </w:p>
    <w:p w:rsidR="004D78AF" w:rsidRDefault="004D78AF" w:rsidP="004D78AF">
      <w:pPr>
        <w:spacing w:line="560" w:lineRule="exact"/>
        <w:ind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包括</w:t>
      </w:r>
      <w:r>
        <w:rPr>
          <w:rFonts w:eastAsia="仿宋_GB2312"/>
          <w:sz w:val="32"/>
        </w:rPr>
        <w:t>“</w:t>
      </w:r>
      <w:r>
        <w:rPr>
          <w:rFonts w:eastAsia="仿宋_GB2312" w:hint="eastAsia"/>
          <w:sz w:val="32"/>
        </w:rPr>
        <w:t>耕地流出</w:t>
      </w:r>
      <w:r>
        <w:rPr>
          <w:rFonts w:eastAsia="仿宋_GB2312"/>
          <w:sz w:val="32"/>
        </w:rPr>
        <w:t>”</w:t>
      </w:r>
      <w:r>
        <w:rPr>
          <w:rFonts w:eastAsia="仿宋_GB2312" w:hint="eastAsia"/>
          <w:sz w:val="32"/>
        </w:rPr>
        <w:t>地块面积、图斑个数、现状地类，耕地质量等别、位置，涉及的主要项目及规模，流出主体（权属）、权利人意见情况以及流出后用途等；流出的必要性、合理性分析，是否选择在不稳定利用、质量较低、零星分散、不宜集中连片耕作管护的耕地。</w:t>
      </w:r>
      <w:r>
        <w:rPr>
          <w:rFonts w:eastAsia="仿宋_GB2312"/>
          <w:sz w:val="32"/>
        </w:rPr>
        <w:t>“</w:t>
      </w:r>
      <w:r>
        <w:rPr>
          <w:rFonts w:eastAsia="仿宋_GB2312" w:hint="eastAsia"/>
          <w:sz w:val="32"/>
        </w:rPr>
        <w:t>耕地流出</w:t>
      </w:r>
      <w:r>
        <w:rPr>
          <w:rFonts w:eastAsia="仿宋_GB2312"/>
          <w:sz w:val="32"/>
        </w:rPr>
        <w:t>”</w:t>
      </w:r>
      <w:r>
        <w:rPr>
          <w:rFonts w:eastAsia="仿宋_GB2312" w:hint="eastAsia"/>
          <w:sz w:val="32"/>
        </w:rPr>
        <w:t>区域的国土空间规划</w:t>
      </w:r>
      <w:r>
        <w:rPr>
          <w:rFonts w:eastAsia="仿宋_GB2312" w:hint="eastAsia"/>
          <w:sz w:val="32"/>
        </w:rPr>
        <w:lastRenderedPageBreak/>
        <w:t>分区和规划用地类型，是否涉及三条控制线，是否符合国土空间规划的有关管控要求。</w:t>
      </w:r>
    </w:p>
    <w:p w:rsidR="004D78AF" w:rsidRDefault="004D78AF" w:rsidP="004D78AF">
      <w:pPr>
        <w:spacing w:line="560" w:lineRule="exact"/>
        <w:ind w:firstLine="643"/>
        <w:rPr>
          <w:rFonts w:eastAsia="楷体_GB2312"/>
          <w:b/>
          <w:sz w:val="32"/>
        </w:rPr>
      </w:pPr>
      <w:r>
        <w:rPr>
          <w:rFonts w:eastAsia="楷体_GB2312" w:hint="eastAsia"/>
          <w:b/>
          <w:sz w:val="32"/>
        </w:rPr>
        <w:t>（三）耕地</w:t>
      </w:r>
      <w:r>
        <w:rPr>
          <w:rFonts w:eastAsia="楷体_GB2312"/>
          <w:b/>
          <w:sz w:val="32"/>
        </w:rPr>
        <w:t>“</w:t>
      </w:r>
      <w:r>
        <w:rPr>
          <w:rFonts w:eastAsia="楷体_GB2312" w:hint="eastAsia"/>
          <w:b/>
          <w:sz w:val="32"/>
        </w:rPr>
        <w:t>进出平衡</w:t>
      </w:r>
      <w:r>
        <w:rPr>
          <w:rFonts w:eastAsia="楷体_GB2312"/>
          <w:b/>
          <w:sz w:val="32"/>
        </w:rPr>
        <w:t>”</w:t>
      </w:r>
      <w:r>
        <w:rPr>
          <w:rFonts w:eastAsia="楷体_GB2312" w:hint="eastAsia"/>
          <w:b/>
          <w:sz w:val="32"/>
        </w:rPr>
        <w:t>情况分析。</w:t>
      </w:r>
    </w:p>
    <w:p w:rsidR="004D78AF" w:rsidRDefault="004D78AF" w:rsidP="004D78AF">
      <w:pPr>
        <w:spacing w:line="560" w:lineRule="exact"/>
        <w:ind w:firstLine="641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包括</w:t>
      </w:r>
      <w:r>
        <w:rPr>
          <w:rFonts w:eastAsia="仿宋_GB2312"/>
          <w:sz w:val="32"/>
        </w:rPr>
        <w:t>“</w:t>
      </w:r>
      <w:r>
        <w:rPr>
          <w:rFonts w:eastAsia="仿宋_GB2312" w:hint="eastAsia"/>
          <w:sz w:val="32"/>
        </w:rPr>
        <w:t>进出平衡</w:t>
      </w:r>
      <w:r>
        <w:rPr>
          <w:rFonts w:eastAsia="仿宋_GB2312"/>
          <w:sz w:val="32"/>
        </w:rPr>
        <w:t>”</w:t>
      </w:r>
      <w:r>
        <w:rPr>
          <w:rFonts w:eastAsia="仿宋_GB2312" w:hint="eastAsia"/>
          <w:sz w:val="32"/>
        </w:rPr>
        <w:t>的必要性和可行性，是否符合</w:t>
      </w:r>
      <w:r>
        <w:rPr>
          <w:rFonts w:eastAsia="仿宋_GB2312"/>
          <w:sz w:val="32"/>
        </w:rPr>
        <w:t>“</w:t>
      </w:r>
      <w:r>
        <w:rPr>
          <w:rFonts w:eastAsia="仿宋_GB2312" w:hint="eastAsia"/>
          <w:color w:val="000000"/>
          <w:sz w:val="32"/>
        </w:rPr>
        <w:t>以进定出、先进后出、进优出劣</w:t>
      </w:r>
      <w:r>
        <w:rPr>
          <w:rFonts w:eastAsia="仿宋_GB2312"/>
          <w:sz w:val="32"/>
        </w:rPr>
        <w:t>”</w:t>
      </w:r>
      <w:r>
        <w:rPr>
          <w:rFonts w:eastAsia="仿宋_GB2312" w:hint="eastAsia"/>
          <w:sz w:val="32"/>
        </w:rPr>
        <w:t>的要求等；说明流入和流出地类是否符合要求等；分析耕地数量不减少、质量不降低情况、布局优化情况等；明确是否能完成年度耕地进出平衡。</w:t>
      </w:r>
    </w:p>
    <w:p w:rsidR="004D78AF" w:rsidRDefault="004D78AF" w:rsidP="004D78AF">
      <w:pPr>
        <w:spacing w:line="560" w:lineRule="exact"/>
        <w:ind w:firstLine="640"/>
        <w:rPr>
          <w:rFonts w:eastAsia="黑体"/>
          <w:sz w:val="32"/>
        </w:rPr>
      </w:pPr>
      <w:r>
        <w:rPr>
          <w:rFonts w:eastAsia="黑体" w:hint="eastAsia"/>
          <w:sz w:val="32"/>
        </w:rPr>
        <w:t>四、资金来源</w:t>
      </w:r>
    </w:p>
    <w:p w:rsidR="004D78AF" w:rsidRDefault="004D78AF" w:rsidP="004D78AF">
      <w:pPr>
        <w:spacing w:line="560" w:lineRule="exact"/>
        <w:ind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测算年度</w:t>
      </w:r>
      <w:r>
        <w:rPr>
          <w:rFonts w:eastAsia="仿宋_GB2312"/>
          <w:sz w:val="32"/>
        </w:rPr>
        <w:t>“</w:t>
      </w:r>
      <w:r>
        <w:rPr>
          <w:rFonts w:eastAsia="仿宋_GB2312" w:hint="eastAsia"/>
          <w:sz w:val="32"/>
        </w:rPr>
        <w:t>耕地流入</w:t>
      </w:r>
      <w:r>
        <w:rPr>
          <w:rFonts w:eastAsia="仿宋_GB2312"/>
          <w:sz w:val="32"/>
        </w:rPr>
        <w:t>”</w:t>
      </w:r>
      <w:r>
        <w:rPr>
          <w:rFonts w:eastAsia="仿宋_GB2312" w:hint="eastAsia"/>
          <w:sz w:val="32"/>
        </w:rPr>
        <w:t>工程实施费用，明确资金来源、投入计划，确保资金有保障。</w:t>
      </w:r>
    </w:p>
    <w:p w:rsidR="004D78AF" w:rsidRDefault="004D78AF" w:rsidP="004D78AF">
      <w:pPr>
        <w:spacing w:line="560" w:lineRule="exact"/>
        <w:ind w:firstLine="640"/>
        <w:rPr>
          <w:rFonts w:eastAsia="黑体"/>
          <w:sz w:val="32"/>
        </w:rPr>
      </w:pPr>
      <w:r>
        <w:rPr>
          <w:rFonts w:eastAsia="黑体" w:hint="eastAsia"/>
          <w:sz w:val="32"/>
        </w:rPr>
        <w:t>五、时序安排</w:t>
      </w:r>
    </w:p>
    <w:p w:rsidR="004D78AF" w:rsidRDefault="004D78AF" w:rsidP="004D78AF">
      <w:pPr>
        <w:spacing w:line="560" w:lineRule="exact"/>
        <w:ind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“</w:t>
      </w:r>
      <w:r>
        <w:rPr>
          <w:rFonts w:eastAsia="仿宋_GB2312" w:hint="eastAsia"/>
          <w:sz w:val="32"/>
        </w:rPr>
        <w:t>耕地流入</w:t>
      </w:r>
      <w:r>
        <w:rPr>
          <w:rFonts w:eastAsia="仿宋_GB2312"/>
          <w:sz w:val="32"/>
        </w:rPr>
        <w:t>”</w:t>
      </w:r>
      <w:r>
        <w:rPr>
          <w:rFonts w:eastAsia="仿宋_GB2312" w:hint="eastAsia"/>
          <w:sz w:val="32"/>
        </w:rPr>
        <w:t>和</w:t>
      </w:r>
      <w:r>
        <w:rPr>
          <w:rFonts w:eastAsia="仿宋_GB2312"/>
          <w:sz w:val="32"/>
        </w:rPr>
        <w:t>“</w:t>
      </w:r>
      <w:r>
        <w:rPr>
          <w:rFonts w:eastAsia="仿宋_GB2312" w:hint="eastAsia"/>
          <w:sz w:val="32"/>
        </w:rPr>
        <w:t>耕地流出</w:t>
      </w:r>
      <w:r>
        <w:rPr>
          <w:rFonts w:eastAsia="仿宋_GB2312"/>
          <w:sz w:val="32"/>
        </w:rPr>
        <w:t>”</w:t>
      </w:r>
      <w:r>
        <w:rPr>
          <w:rFonts w:eastAsia="仿宋_GB2312" w:hint="eastAsia"/>
          <w:sz w:val="32"/>
        </w:rPr>
        <w:t>的具体时序安排。</w:t>
      </w:r>
    </w:p>
    <w:p w:rsidR="004D78AF" w:rsidRDefault="004D78AF" w:rsidP="004D78AF">
      <w:pPr>
        <w:spacing w:line="560" w:lineRule="exact"/>
        <w:ind w:firstLine="640"/>
        <w:rPr>
          <w:rFonts w:eastAsia="黑体"/>
          <w:sz w:val="32"/>
        </w:rPr>
      </w:pPr>
      <w:r>
        <w:rPr>
          <w:rFonts w:eastAsia="黑体" w:hint="eastAsia"/>
          <w:sz w:val="32"/>
        </w:rPr>
        <w:t>六、效益分析</w:t>
      </w:r>
    </w:p>
    <w:p w:rsidR="004D78AF" w:rsidRDefault="004D78AF" w:rsidP="004D78AF">
      <w:pPr>
        <w:spacing w:line="560" w:lineRule="exact"/>
        <w:ind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根据方案目标任务、涉及的耕地流入流出情况等，合理分析方案实施的生态效益、社会效益和经济效益。</w:t>
      </w:r>
    </w:p>
    <w:p w:rsidR="004D78AF" w:rsidRDefault="004D78AF" w:rsidP="004D78AF">
      <w:pPr>
        <w:spacing w:line="560" w:lineRule="exact"/>
        <w:ind w:firstLine="640"/>
        <w:rPr>
          <w:rFonts w:eastAsia="黑体"/>
          <w:sz w:val="32"/>
        </w:rPr>
      </w:pPr>
      <w:r>
        <w:rPr>
          <w:rFonts w:eastAsia="黑体" w:hint="eastAsia"/>
          <w:sz w:val="32"/>
        </w:rPr>
        <w:t>七、保障措施</w:t>
      </w:r>
    </w:p>
    <w:p w:rsidR="004D78AF" w:rsidRDefault="004D78AF" w:rsidP="004D78AF">
      <w:pPr>
        <w:spacing w:line="560" w:lineRule="exact"/>
        <w:ind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从加强组织领导、夯实工作基础、强化后期管护等方面提出总体方案的实施保障措施。</w:t>
      </w:r>
    </w:p>
    <w:p w:rsidR="004D78AF" w:rsidRDefault="004D78AF" w:rsidP="004D78AF">
      <w:pPr>
        <w:spacing w:line="560" w:lineRule="exact"/>
        <w:ind w:firstLine="640"/>
        <w:rPr>
          <w:rFonts w:eastAsia="黑体"/>
          <w:sz w:val="32"/>
        </w:rPr>
      </w:pPr>
      <w:r>
        <w:rPr>
          <w:rFonts w:eastAsia="黑体" w:hint="eastAsia"/>
          <w:sz w:val="32"/>
        </w:rPr>
        <w:t>八、附件</w:t>
      </w:r>
    </w:p>
    <w:p w:rsidR="004D78AF" w:rsidRDefault="004D78AF" w:rsidP="004D78AF">
      <w:pPr>
        <w:spacing w:line="560" w:lineRule="exact"/>
        <w:ind w:firstLine="643"/>
        <w:rPr>
          <w:rFonts w:eastAsia="楷体_GB2312"/>
          <w:b/>
          <w:sz w:val="32"/>
        </w:rPr>
      </w:pPr>
      <w:r>
        <w:rPr>
          <w:rFonts w:eastAsia="楷体_GB2312" w:hint="eastAsia"/>
          <w:b/>
          <w:sz w:val="32"/>
        </w:rPr>
        <w:t>（一）附表。</w:t>
      </w:r>
    </w:p>
    <w:p w:rsidR="004D78AF" w:rsidRDefault="004D78AF" w:rsidP="004D78AF">
      <w:pPr>
        <w:spacing w:line="560" w:lineRule="exact"/>
        <w:ind w:firstLine="641"/>
        <w:rPr>
          <w:rFonts w:eastAsia="仿宋_GB2312"/>
          <w:sz w:val="32"/>
        </w:rPr>
      </w:pPr>
      <w:r>
        <w:rPr>
          <w:rFonts w:eastAsia="仿宋_GB2312"/>
          <w:sz w:val="32"/>
        </w:rPr>
        <w:t>1.</w:t>
      </w:r>
      <w:r>
        <w:t xml:space="preserve"> </w:t>
      </w:r>
      <w:r>
        <w:rPr>
          <w:rFonts w:eastAsia="仿宋_GB2312"/>
          <w:sz w:val="32"/>
        </w:rPr>
        <w:t>XX</w:t>
      </w:r>
      <w:r>
        <w:rPr>
          <w:rFonts w:eastAsia="仿宋_GB2312" w:hint="eastAsia"/>
          <w:sz w:val="32"/>
        </w:rPr>
        <w:t>县（市、区）</w:t>
      </w:r>
      <w:r>
        <w:rPr>
          <w:rFonts w:eastAsia="仿宋_GB2312"/>
          <w:sz w:val="32"/>
        </w:rPr>
        <w:t>XX</w:t>
      </w:r>
      <w:r>
        <w:rPr>
          <w:rFonts w:eastAsia="仿宋_GB2312" w:hint="eastAsia"/>
          <w:sz w:val="32"/>
        </w:rPr>
        <w:t>年度耕地拟流入情况表；</w:t>
      </w:r>
    </w:p>
    <w:p w:rsidR="004D78AF" w:rsidRDefault="004D78AF" w:rsidP="004D78AF">
      <w:pPr>
        <w:spacing w:line="560" w:lineRule="exact"/>
        <w:ind w:firstLine="641"/>
        <w:rPr>
          <w:rFonts w:eastAsia="仿宋_GB2312"/>
          <w:sz w:val="32"/>
        </w:rPr>
      </w:pPr>
      <w:r>
        <w:rPr>
          <w:rFonts w:eastAsia="仿宋_GB2312"/>
          <w:sz w:val="32"/>
        </w:rPr>
        <w:t>2.</w:t>
      </w:r>
      <w:r>
        <w:t xml:space="preserve"> </w:t>
      </w:r>
      <w:r>
        <w:rPr>
          <w:rFonts w:eastAsia="仿宋_GB2312"/>
          <w:sz w:val="32"/>
        </w:rPr>
        <w:t>XX</w:t>
      </w:r>
      <w:r>
        <w:rPr>
          <w:rFonts w:eastAsia="仿宋_GB2312" w:hint="eastAsia"/>
          <w:sz w:val="32"/>
        </w:rPr>
        <w:t>县（市、区）</w:t>
      </w:r>
      <w:r>
        <w:rPr>
          <w:rFonts w:eastAsia="仿宋_GB2312"/>
          <w:sz w:val="32"/>
        </w:rPr>
        <w:t>XX</w:t>
      </w:r>
      <w:r>
        <w:rPr>
          <w:rFonts w:eastAsia="仿宋_GB2312" w:hint="eastAsia"/>
          <w:sz w:val="32"/>
        </w:rPr>
        <w:t>年度耕地拟流出情况表；</w:t>
      </w:r>
    </w:p>
    <w:p w:rsidR="004D78AF" w:rsidRDefault="004D78AF" w:rsidP="004D78AF">
      <w:pPr>
        <w:spacing w:line="560" w:lineRule="exact"/>
        <w:ind w:firstLine="641"/>
        <w:rPr>
          <w:rFonts w:eastAsia="仿宋_GB2312"/>
          <w:sz w:val="32"/>
        </w:rPr>
      </w:pPr>
      <w:r>
        <w:rPr>
          <w:rFonts w:eastAsia="仿宋_GB2312"/>
          <w:sz w:val="32"/>
        </w:rPr>
        <w:t>3.</w:t>
      </w:r>
      <w:r>
        <w:t xml:space="preserve"> </w:t>
      </w:r>
      <w:r>
        <w:rPr>
          <w:rFonts w:eastAsia="仿宋_GB2312"/>
          <w:sz w:val="32"/>
        </w:rPr>
        <w:t>XX</w:t>
      </w:r>
      <w:r>
        <w:rPr>
          <w:rFonts w:eastAsia="仿宋_GB2312" w:hint="eastAsia"/>
          <w:sz w:val="32"/>
        </w:rPr>
        <w:t>县（市、区）</w:t>
      </w:r>
      <w:r>
        <w:rPr>
          <w:rFonts w:eastAsia="仿宋_GB2312"/>
          <w:sz w:val="32"/>
        </w:rPr>
        <w:t>XX</w:t>
      </w:r>
      <w:r>
        <w:rPr>
          <w:rFonts w:eastAsia="仿宋_GB2312" w:hint="eastAsia"/>
          <w:sz w:val="32"/>
        </w:rPr>
        <w:t>年度耕地</w:t>
      </w:r>
      <w:r>
        <w:rPr>
          <w:rFonts w:eastAsia="仿宋_GB2312"/>
          <w:sz w:val="32"/>
        </w:rPr>
        <w:t>“</w:t>
      </w:r>
      <w:r>
        <w:rPr>
          <w:rFonts w:eastAsia="仿宋_GB2312" w:hint="eastAsia"/>
          <w:sz w:val="32"/>
        </w:rPr>
        <w:t>进出平衡</w:t>
      </w:r>
      <w:r>
        <w:rPr>
          <w:rFonts w:eastAsia="仿宋_GB2312"/>
          <w:sz w:val="32"/>
        </w:rPr>
        <w:t>”</w:t>
      </w:r>
      <w:r>
        <w:rPr>
          <w:rFonts w:eastAsia="仿宋_GB2312" w:hint="eastAsia"/>
          <w:sz w:val="32"/>
        </w:rPr>
        <w:t>情况表。</w:t>
      </w:r>
    </w:p>
    <w:p w:rsidR="004D78AF" w:rsidRDefault="004D78AF" w:rsidP="004D78AF">
      <w:pPr>
        <w:spacing w:line="560" w:lineRule="exact"/>
        <w:ind w:firstLine="643"/>
        <w:rPr>
          <w:rFonts w:eastAsia="楷体_GB2312"/>
          <w:b/>
          <w:sz w:val="32"/>
        </w:rPr>
      </w:pPr>
      <w:r>
        <w:rPr>
          <w:rFonts w:eastAsia="楷体_GB2312" w:hint="eastAsia"/>
          <w:b/>
          <w:sz w:val="32"/>
        </w:rPr>
        <w:t>（二）附图。</w:t>
      </w:r>
    </w:p>
    <w:p w:rsidR="004D78AF" w:rsidRDefault="004D78AF" w:rsidP="004D78AF">
      <w:pPr>
        <w:spacing w:line="560" w:lineRule="exact"/>
        <w:ind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lastRenderedPageBreak/>
        <w:t>XXX</w:t>
      </w:r>
      <w:r>
        <w:rPr>
          <w:rFonts w:eastAsia="仿宋_GB2312" w:hint="eastAsia"/>
          <w:sz w:val="32"/>
        </w:rPr>
        <w:t>县（市、区）</w:t>
      </w:r>
      <w:r>
        <w:rPr>
          <w:rFonts w:eastAsia="仿宋_GB2312"/>
          <w:sz w:val="32"/>
        </w:rPr>
        <w:t>XX</w:t>
      </w:r>
      <w:r>
        <w:rPr>
          <w:rFonts w:eastAsia="仿宋_GB2312" w:hint="eastAsia"/>
          <w:sz w:val="32"/>
        </w:rPr>
        <w:t>年度耕地</w:t>
      </w:r>
      <w:r>
        <w:rPr>
          <w:rFonts w:eastAsia="仿宋_GB2312"/>
          <w:sz w:val="32"/>
        </w:rPr>
        <w:t>“</w:t>
      </w:r>
      <w:r>
        <w:rPr>
          <w:rFonts w:eastAsia="仿宋_GB2312" w:hint="eastAsia"/>
          <w:sz w:val="32"/>
        </w:rPr>
        <w:t>进出平衡</w:t>
      </w:r>
      <w:r>
        <w:rPr>
          <w:rFonts w:eastAsia="仿宋_GB2312"/>
          <w:sz w:val="32"/>
        </w:rPr>
        <w:t>”</w:t>
      </w:r>
      <w:r>
        <w:rPr>
          <w:rFonts w:eastAsia="仿宋_GB2312" w:hint="eastAsia"/>
          <w:sz w:val="32"/>
        </w:rPr>
        <w:t>地块示意图。</w:t>
      </w:r>
    </w:p>
    <w:p w:rsidR="004D78AF" w:rsidRDefault="004D78AF" w:rsidP="004D78AF">
      <w:pPr>
        <w:spacing w:line="560" w:lineRule="exact"/>
        <w:ind w:firstLine="643"/>
        <w:rPr>
          <w:rFonts w:eastAsia="楷体_GB2312"/>
          <w:b/>
          <w:sz w:val="32"/>
        </w:rPr>
      </w:pPr>
      <w:r>
        <w:rPr>
          <w:rFonts w:eastAsia="楷体_GB2312" w:hint="eastAsia"/>
          <w:b/>
          <w:sz w:val="32"/>
        </w:rPr>
        <w:t>（三）附件。</w:t>
      </w:r>
    </w:p>
    <w:p w:rsidR="004D78AF" w:rsidRDefault="004D78AF" w:rsidP="004D78AF">
      <w:pPr>
        <w:spacing w:line="560" w:lineRule="exact"/>
        <w:ind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1.</w:t>
      </w:r>
      <w:r>
        <w:rPr>
          <w:rFonts w:eastAsia="仿宋_GB2312" w:hint="eastAsia"/>
          <w:sz w:val="32"/>
        </w:rPr>
        <w:t>各相关单位论证意见；</w:t>
      </w:r>
    </w:p>
    <w:p w:rsidR="004D78AF" w:rsidRDefault="004D78AF" w:rsidP="004D78AF">
      <w:pPr>
        <w:spacing w:line="560" w:lineRule="exact"/>
        <w:ind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2.</w:t>
      </w:r>
      <w:r>
        <w:rPr>
          <w:rFonts w:eastAsia="仿宋_GB2312" w:hint="eastAsia"/>
          <w:sz w:val="32"/>
        </w:rPr>
        <w:t>土地权利人意见；</w:t>
      </w:r>
    </w:p>
    <w:p w:rsidR="004D78AF" w:rsidRDefault="004D78AF" w:rsidP="004D78AF">
      <w:pPr>
        <w:spacing w:line="560" w:lineRule="exact"/>
        <w:ind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3.</w:t>
      </w:r>
      <w:r>
        <w:rPr>
          <w:rFonts w:eastAsia="仿宋_GB2312" w:hint="eastAsia"/>
          <w:sz w:val="32"/>
        </w:rPr>
        <w:t>耕地流入和耕地流出实施范围位置。</w:t>
      </w:r>
    </w:p>
    <w:p w:rsidR="004D78AF" w:rsidRDefault="004D78AF" w:rsidP="004D78AF">
      <w:pPr>
        <w:spacing w:line="520" w:lineRule="exact"/>
        <w:rPr>
          <w:rFonts w:eastAsia="仿宋_GB2312"/>
          <w:sz w:val="32"/>
        </w:rPr>
      </w:pPr>
    </w:p>
    <w:p w:rsidR="00656D8B" w:rsidRPr="004D78AF" w:rsidRDefault="00656D8B"/>
    <w:sectPr w:rsidR="00656D8B" w:rsidRPr="004D7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AF"/>
    <w:rsid w:val="004D78AF"/>
    <w:rsid w:val="0065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A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A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4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820</Characters>
  <Application>Microsoft Office Word</Application>
  <DocSecurity>0</DocSecurity>
  <Lines>6</Lines>
  <Paragraphs>1</Paragraphs>
  <ScaleCrop>false</ScaleCrop>
  <Company>微软中国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蒙盈盈</dc:creator>
  <cp:lastModifiedBy>蒙盈盈</cp:lastModifiedBy>
  <cp:revision>1</cp:revision>
  <dcterms:created xsi:type="dcterms:W3CDTF">2023-01-13T08:25:00Z</dcterms:created>
  <dcterms:modified xsi:type="dcterms:W3CDTF">2023-01-13T08:25:00Z</dcterms:modified>
</cp:coreProperties>
</file>