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F6" w:rsidRDefault="00E334F6" w:rsidP="00E334F6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E334F6" w:rsidRDefault="00E334F6" w:rsidP="00E334F6">
      <w:pPr>
        <w:spacing w:line="520" w:lineRule="exact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jc w:val="center"/>
        <w:rPr>
          <w:rFonts w:eastAsia="方正小标宋简体"/>
          <w:sz w:val="44"/>
          <w:szCs w:val="44"/>
          <w:lang/>
        </w:rPr>
      </w:pPr>
      <w:r>
        <w:rPr>
          <w:rFonts w:eastAsia="方正小标宋简体"/>
          <w:sz w:val="44"/>
          <w:szCs w:val="44"/>
        </w:rPr>
        <w:t>XX</w:t>
      </w:r>
      <w:r>
        <w:rPr>
          <w:rFonts w:eastAsia="方正小标宋简体" w:hint="eastAsia"/>
          <w:sz w:val="44"/>
          <w:szCs w:val="44"/>
        </w:rPr>
        <w:t>市人民政府关于申请耕地</w:t>
      </w:r>
      <w:r>
        <w:rPr>
          <w:rFonts w:eastAsia="方正小标宋简体"/>
          <w:sz w:val="44"/>
          <w:szCs w:val="44"/>
          <w:lang/>
        </w:rPr>
        <w:t>“</w:t>
      </w:r>
      <w:r>
        <w:rPr>
          <w:rFonts w:eastAsia="方正小标宋简体" w:hint="eastAsia"/>
          <w:sz w:val="44"/>
          <w:szCs w:val="44"/>
          <w:lang/>
        </w:rPr>
        <w:t>进出平衡</w:t>
      </w:r>
      <w:r>
        <w:rPr>
          <w:rFonts w:eastAsia="方正小标宋简体"/>
          <w:sz w:val="44"/>
          <w:szCs w:val="44"/>
          <w:lang/>
        </w:rPr>
        <w:t>”</w:t>
      </w:r>
    </w:p>
    <w:p w:rsidR="00E334F6" w:rsidRDefault="00E334F6" w:rsidP="00E334F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指标划转有关情况的函</w:t>
      </w:r>
    </w:p>
    <w:p w:rsidR="00E334F6" w:rsidRDefault="00E334F6" w:rsidP="00E334F6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楷体" w:hint="eastAsia"/>
          <w:sz w:val="32"/>
          <w:szCs w:val="32"/>
        </w:rPr>
        <w:t>（适用于市域内统筹调剂）</w:t>
      </w:r>
    </w:p>
    <w:p w:rsidR="00E334F6" w:rsidRDefault="00E334F6" w:rsidP="00E334F6">
      <w:pPr>
        <w:spacing w:line="560" w:lineRule="exact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自治区自然资源厅：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根据国家和自治区关于全面落实耕地</w:t>
      </w:r>
      <w:r>
        <w:rPr>
          <w:rFonts w:eastAsia="仿宋_GB2312"/>
          <w:sz w:val="32"/>
          <w:szCs w:val="32"/>
          <w:lang/>
        </w:rPr>
        <w:t>“</w:t>
      </w:r>
      <w:r>
        <w:rPr>
          <w:rFonts w:eastAsia="仿宋_GB2312" w:hint="eastAsia"/>
          <w:sz w:val="32"/>
          <w:szCs w:val="32"/>
          <w:lang/>
        </w:rPr>
        <w:t>进出平衡</w:t>
      </w:r>
      <w:r>
        <w:rPr>
          <w:rFonts w:eastAsia="仿宋_GB2312"/>
          <w:sz w:val="32"/>
          <w:szCs w:val="32"/>
          <w:lang/>
        </w:rPr>
        <w:t>”</w:t>
      </w:r>
      <w:r>
        <w:rPr>
          <w:rFonts w:eastAsia="仿宋_GB2312" w:hint="eastAsia"/>
          <w:sz w:val="32"/>
          <w:szCs w:val="32"/>
        </w:rPr>
        <w:t>的要求，我市组织开展了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年度市域内耕地</w:t>
      </w:r>
      <w:r>
        <w:rPr>
          <w:rFonts w:eastAsia="仿宋_GB2312"/>
          <w:sz w:val="32"/>
          <w:szCs w:val="32"/>
          <w:lang/>
        </w:rPr>
        <w:t>“</w:t>
      </w:r>
      <w:r>
        <w:rPr>
          <w:rFonts w:eastAsia="仿宋_GB2312" w:hint="eastAsia"/>
          <w:sz w:val="32"/>
          <w:szCs w:val="32"/>
          <w:lang/>
        </w:rPr>
        <w:t>进出平衡</w:t>
      </w:r>
      <w:r>
        <w:rPr>
          <w:rFonts w:eastAsia="仿宋_GB2312"/>
          <w:sz w:val="32"/>
          <w:szCs w:val="32"/>
          <w:lang/>
        </w:rPr>
        <w:t>”</w:t>
      </w:r>
      <w:r>
        <w:rPr>
          <w:rFonts w:eastAsia="仿宋_GB2312" w:hint="eastAsia"/>
          <w:sz w:val="32"/>
          <w:szCs w:val="32"/>
        </w:rPr>
        <w:t>指标调剂工作。具体调剂内容如下：</w:t>
      </w:r>
    </w:p>
    <w:p w:rsidR="00E334F6" w:rsidRDefault="00E334F6" w:rsidP="00E334F6">
      <w:pPr>
        <w:pStyle w:val="a3"/>
        <w:spacing w:line="560" w:lineRule="exact"/>
        <w:ind w:left="64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一、耕地保护目标完成情况</w:t>
      </w:r>
    </w:p>
    <w:p w:rsidR="00E334F6" w:rsidRDefault="00E334F6" w:rsidP="00E334F6">
      <w:pPr>
        <w:pStyle w:val="a3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我市所辖县（市、区）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个，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年度，我市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个县（市、区）已完成耕地保护目标，分别是</w:t>
      </w:r>
      <w:r>
        <w:rPr>
          <w:rFonts w:eastAsia="仿宋_GB2312"/>
          <w:bCs/>
          <w:sz w:val="32"/>
          <w:szCs w:val="32"/>
        </w:rPr>
        <w:t>……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个县（市、区）未完成耕地保护目标，分别是</w:t>
      </w:r>
      <w:r>
        <w:rPr>
          <w:rFonts w:eastAsia="仿宋_GB2312"/>
          <w:bCs/>
          <w:sz w:val="32"/>
          <w:szCs w:val="32"/>
        </w:rPr>
        <w:t>……</w:t>
      </w:r>
      <w:r>
        <w:rPr>
          <w:rFonts w:eastAsia="仿宋_GB2312" w:hint="eastAsia"/>
          <w:sz w:val="32"/>
          <w:szCs w:val="32"/>
        </w:rPr>
        <w:t>。</w:t>
      </w:r>
    </w:p>
    <w:p w:rsidR="00E334F6" w:rsidRDefault="00E334F6" w:rsidP="00E334F6">
      <w:pPr>
        <w:pStyle w:val="a3"/>
        <w:spacing w:line="560" w:lineRule="exact"/>
        <w:ind w:left="64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二、指标总体情况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lang/>
        </w:rPr>
        <w:t>耕地卫片监督与进出平衡监管系统</w:t>
      </w:r>
      <w:r>
        <w:rPr>
          <w:rFonts w:eastAsia="仿宋_GB2312" w:hint="eastAsia"/>
          <w:sz w:val="32"/>
          <w:szCs w:val="32"/>
        </w:rPr>
        <w:t>下发的年度进出平衡基础台账显示，我市流入耕地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公顷，水田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公顷；流出耕地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公顷，水田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公顷；结余（或缺口）耕地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公顷，水田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公顷。</w:t>
      </w:r>
    </w:p>
    <w:p w:rsidR="00E334F6" w:rsidRDefault="00E334F6" w:rsidP="00E334F6">
      <w:pPr>
        <w:spacing w:line="560" w:lineRule="exact"/>
        <w:ind w:firstLineChars="200" w:firstLine="640"/>
      </w:pPr>
      <w:r>
        <w:rPr>
          <w:rFonts w:eastAsia="仿宋_GB2312" w:hint="eastAsia"/>
          <w:sz w:val="32"/>
          <w:szCs w:val="32"/>
        </w:rPr>
        <w:t>我市辖区内完成</w:t>
      </w:r>
      <w:r>
        <w:rPr>
          <w:rFonts w:eastAsia="仿宋_GB2312"/>
          <w:bCs/>
          <w:sz w:val="32"/>
          <w:szCs w:val="32"/>
        </w:rPr>
        <w:t>XX</w:t>
      </w:r>
      <w:r>
        <w:rPr>
          <w:rFonts w:eastAsia="仿宋_GB2312" w:hint="eastAsia"/>
          <w:bCs/>
          <w:sz w:val="32"/>
          <w:szCs w:val="32"/>
        </w:rPr>
        <w:t>年度耕地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 w:hint="eastAsia"/>
          <w:bCs/>
          <w:sz w:val="32"/>
          <w:szCs w:val="32"/>
        </w:rPr>
        <w:t>进出平衡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 w:hint="eastAsia"/>
          <w:bCs/>
          <w:sz w:val="32"/>
          <w:szCs w:val="32"/>
        </w:rPr>
        <w:t>任务的县（市、区）</w:t>
      </w:r>
      <w:r>
        <w:rPr>
          <w:rFonts w:eastAsia="仿宋_GB2312"/>
          <w:bCs/>
          <w:sz w:val="32"/>
          <w:szCs w:val="32"/>
        </w:rPr>
        <w:t>XX</w:t>
      </w:r>
      <w:r>
        <w:rPr>
          <w:rFonts w:eastAsia="仿宋_GB2312" w:hint="eastAsia"/>
          <w:bCs/>
          <w:sz w:val="32"/>
          <w:szCs w:val="32"/>
        </w:rPr>
        <w:t>个，分别是</w:t>
      </w:r>
      <w:r>
        <w:rPr>
          <w:rFonts w:eastAsia="仿宋_GB2312"/>
          <w:bCs/>
          <w:sz w:val="32"/>
          <w:szCs w:val="32"/>
        </w:rPr>
        <w:t>……</w:t>
      </w:r>
      <w:r>
        <w:rPr>
          <w:rFonts w:eastAsia="仿宋_GB2312" w:hint="eastAsia"/>
          <w:bCs/>
          <w:sz w:val="32"/>
          <w:szCs w:val="32"/>
        </w:rPr>
        <w:t>，其中有耕地指标结余的县</w:t>
      </w:r>
      <w:r>
        <w:rPr>
          <w:rFonts w:eastAsia="仿宋_GB2312" w:hint="eastAsia"/>
          <w:sz w:val="32"/>
          <w:szCs w:val="32"/>
        </w:rPr>
        <w:t>（市、区）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个，分别是</w:t>
      </w:r>
      <w:r>
        <w:rPr>
          <w:rFonts w:eastAsia="仿宋_GB2312"/>
          <w:bCs/>
          <w:sz w:val="32"/>
          <w:szCs w:val="32"/>
        </w:rPr>
        <w:t>……</w:t>
      </w:r>
      <w:r>
        <w:rPr>
          <w:rFonts w:eastAsia="仿宋_GB2312" w:hint="eastAsia"/>
          <w:bCs/>
          <w:sz w:val="32"/>
          <w:szCs w:val="32"/>
        </w:rPr>
        <w:t>；未完成</w:t>
      </w:r>
      <w:r>
        <w:rPr>
          <w:rFonts w:eastAsia="仿宋_GB2312"/>
          <w:bCs/>
          <w:sz w:val="32"/>
          <w:szCs w:val="32"/>
        </w:rPr>
        <w:t>XX</w:t>
      </w:r>
      <w:r>
        <w:rPr>
          <w:rFonts w:eastAsia="仿宋_GB2312" w:hint="eastAsia"/>
          <w:bCs/>
          <w:sz w:val="32"/>
          <w:szCs w:val="32"/>
        </w:rPr>
        <w:t>年度耕地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 w:hint="eastAsia"/>
          <w:bCs/>
          <w:sz w:val="32"/>
          <w:szCs w:val="32"/>
        </w:rPr>
        <w:t>进出平衡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 w:hint="eastAsia"/>
          <w:bCs/>
          <w:sz w:val="32"/>
          <w:szCs w:val="32"/>
        </w:rPr>
        <w:t>任务的县（市、区）</w:t>
      </w:r>
      <w:r>
        <w:rPr>
          <w:rFonts w:eastAsia="仿宋_GB2312"/>
          <w:bCs/>
          <w:sz w:val="32"/>
          <w:szCs w:val="32"/>
        </w:rPr>
        <w:t>XX</w:t>
      </w:r>
      <w:r>
        <w:rPr>
          <w:rFonts w:eastAsia="仿宋_GB2312" w:hint="eastAsia"/>
          <w:bCs/>
          <w:sz w:val="32"/>
          <w:szCs w:val="32"/>
        </w:rPr>
        <w:t>个，分别是</w:t>
      </w:r>
      <w:r>
        <w:rPr>
          <w:rFonts w:eastAsia="仿宋_GB2312"/>
          <w:bCs/>
          <w:sz w:val="32"/>
          <w:szCs w:val="32"/>
        </w:rPr>
        <w:t>……</w:t>
      </w:r>
      <w:r>
        <w:rPr>
          <w:rFonts w:eastAsia="仿宋_GB2312" w:hint="eastAsia"/>
          <w:sz w:val="32"/>
          <w:szCs w:val="32"/>
        </w:rPr>
        <w:t>。</w:t>
      </w:r>
    </w:p>
    <w:p w:rsidR="00E334F6" w:rsidRDefault="00E334F6" w:rsidP="00E334F6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三、指标调剂情况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根据耕地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指标调剂要求，我市辖区内满足跨县域调出指标的县（市、区）有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个，分别是</w:t>
      </w:r>
      <w:r>
        <w:rPr>
          <w:rFonts w:eastAsia="仿宋_GB2312"/>
          <w:bCs/>
          <w:sz w:val="32"/>
          <w:szCs w:val="32"/>
        </w:rPr>
        <w:t>……</w:t>
      </w:r>
      <w:r>
        <w:rPr>
          <w:rFonts w:eastAsia="仿宋_GB2312" w:hint="eastAsia"/>
          <w:sz w:val="32"/>
          <w:szCs w:val="32"/>
        </w:rPr>
        <w:t>。经统筹调剂，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年度我市市域内共调剂指标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公顷，其中耕地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公顷，水田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公顷，从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县调出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公顷耕地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水田至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bCs/>
          <w:sz w:val="32"/>
          <w:szCs w:val="32"/>
        </w:rPr>
        <w:t>……</w:t>
      </w:r>
      <w:r>
        <w:rPr>
          <w:rFonts w:eastAsia="仿宋_GB2312" w:hint="eastAsia"/>
          <w:sz w:val="32"/>
          <w:szCs w:val="32"/>
        </w:rPr>
        <w:t>，共涉及资金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万元。指标调剂后，全市仍有结余耕地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公顷，水田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公顷（或缺口耕地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公顷，水田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公顷不变，但未完成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年度耕地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任务的县</w:t>
      </w:r>
      <w:r>
        <w:rPr>
          <w:rFonts w:eastAsia="仿宋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市、区</w:t>
      </w:r>
      <w:r>
        <w:rPr>
          <w:rFonts w:eastAsia="仿宋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下降至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个），调剂情况及调剂资金详见附件</w:t>
      </w:r>
      <w:r>
        <w:rPr>
          <w:rFonts w:eastAsia="仿宋_GB2312"/>
          <w:sz w:val="32"/>
          <w:szCs w:val="32"/>
        </w:rPr>
        <w:t>1-1-1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1-1-2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1-1-3</w:t>
      </w:r>
      <w:r>
        <w:rPr>
          <w:rFonts w:eastAsia="仿宋_GB2312" w:hint="eastAsia"/>
          <w:sz w:val="32"/>
          <w:szCs w:val="32"/>
        </w:rPr>
        <w:t>。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综上，请贵厅在</w:t>
      </w:r>
      <w:r>
        <w:rPr>
          <w:rFonts w:eastAsia="仿宋_GB2312" w:hint="eastAsia"/>
          <w:sz w:val="32"/>
          <w:szCs w:val="32"/>
          <w:lang/>
        </w:rPr>
        <w:t>耕地卫片监督与进出平衡监管系统</w:t>
      </w:r>
      <w:r>
        <w:rPr>
          <w:rFonts w:eastAsia="仿宋_GB2312" w:hint="eastAsia"/>
          <w:sz w:val="32"/>
          <w:szCs w:val="32"/>
        </w:rPr>
        <w:t>中将我市市域内的调剂指标进行相应划转。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ind w:leftChars="304" w:left="2238" w:hangingChars="500" w:hanging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1-1.XX</w:t>
      </w:r>
      <w:r>
        <w:rPr>
          <w:rFonts w:eastAsia="仿宋_GB2312" w:hint="eastAsia"/>
          <w:sz w:val="32"/>
          <w:szCs w:val="32"/>
        </w:rPr>
        <w:t>年度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市市域内耕地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指标调剂台</w:t>
      </w:r>
    </w:p>
    <w:p w:rsidR="00E334F6" w:rsidRDefault="00E334F6" w:rsidP="00E334F6">
      <w:pPr>
        <w:spacing w:line="560" w:lineRule="exact"/>
        <w:ind w:leftChars="912" w:left="2235" w:hangingChars="100" w:hanging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账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1-2.</w:t>
      </w:r>
      <w:r>
        <w:rPr>
          <w:rFonts w:eastAsia="仿宋_GB2312" w:hint="eastAsia"/>
          <w:sz w:val="32"/>
          <w:szCs w:val="32"/>
        </w:rPr>
        <w:t>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指标调剂协议（样式略）</w:t>
      </w:r>
    </w:p>
    <w:p w:rsidR="00E334F6" w:rsidRDefault="00E334F6" w:rsidP="00E334F6">
      <w:pPr>
        <w:spacing w:line="560" w:lineRule="exact"/>
        <w:ind w:leftChars="304" w:left="2238" w:hangingChars="500" w:hanging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1-3.</w:t>
      </w:r>
      <w:r>
        <w:rPr>
          <w:rFonts w:eastAsia="仿宋_GB2312" w:hint="eastAsia"/>
          <w:sz w:val="32"/>
          <w:szCs w:val="32"/>
        </w:rPr>
        <w:t>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指标调剂价款支付票据（国内支</w:t>
      </w:r>
    </w:p>
    <w:p w:rsidR="00E334F6" w:rsidRDefault="00E334F6" w:rsidP="00E334F6">
      <w:pPr>
        <w:spacing w:line="560" w:lineRule="exact"/>
        <w:ind w:leftChars="912" w:left="191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付业务付款回单、财政资金授权支付凭证、网上银行电子回单等，提供任一凭证均可）（样式略）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  <w:lang/>
        </w:rPr>
      </w:pPr>
    </w:p>
    <w:p w:rsidR="00E334F6" w:rsidRDefault="00E334F6" w:rsidP="00E334F6">
      <w:pPr>
        <w:spacing w:line="560" w:lineRule="exact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XX</w:t>
      </w:r>
      <w:r>
        <w:rPr>
          <w:rFonts w:eastAsia="仿宋_GB2312" w:hint="eastAsia"/>
          <w:sz w:val="32"/>
          <w:szCs w:val="32"/>
        </w:rPr>
        <w:t>市人民政府</w:t>
      </w:r>
    </w:p>
    <w:p w:rsidR="00E334F6" w:rsidRDefault="00E334F6" w:rsidP="00E334F6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年月日</w:t>
      </w:r>
    </w:p>
    <w:p w:rsidR="00E334F6" w:rsidRDefault="00E334F6" w:rsidP="00E334F6">
      <w:pPr>
        <w:spacing w:line="560" w:lineRule="exact"/>
        <w:ind w:firstLine="645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（联系人：</w:t>
      </w:r>
      <w:r>
        <w:rPr>
          <w:rFonts w:eastAsia="仿宋_GB2312"/>
          <w:sz w:val="32"/>
          <w:szCs w:val="32"/>
        </w:rPr>
        <w:t xml:space="preserve">XXX  </w:t>
      </w: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XXXXXXX</w:t>
      </w:r>
      <w:r>
        <w:rPr>
          <w:rFonts w:eastAsia="仿宋_GB2312" w:hint="eastAsia"/>
          <w:sz w:val="32"/>
          <w:szCs w:val="32"/>
        </w:rPr>
        <w:t>）</w:t>
      </w:r>
    </w:p>
    <w:p w:rsidR="00E334F6" w:rsidRDefault="00E334F6" w:rsidP="00E334F6">
      <w:pPr>
        <w:widowControl/>
        <w:jc w:val="left"/>
        <w:rPr>
          <w:rFonts w:eastAsia="仿宋_GB2312"/>
          <w:sz w:val="32"/>
          <w:szCs w:val="32"/>
        </w:rPr>
        <w:sectPr w:rsidR="00E334F6">
          <w:pgSz w:w="11906" w:h="16838"/>
          <w:pgMar w:top="1587" w:right="1474" w:bottom="1474" w:left="1587" w:header="851" w:footer="1587" w:gutter="0"/>
          <w:cols w:space="720"/>
          <w:docGrid w:type="lines" w:linePitch="312"/>
        </w:sectPr>
      </w:pPr>
    </w:p>
    <w:p w:rsidR="00E334F6" w:rsidRDefault="00E334F6" w:rsidP="00E334F6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1-1</w:t>
      </w:r>
    </w:p>
    <w:p w:rsidR="00E334F6" w:rsidRDefault="00E334F6" w:rsidP="00E334F6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E334F6" w:rsidRDefault="00E334F6" w:rsidP="00E334F6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_GBK"/>
          <w:sz w:val="44"/>
          <w:szCs w:val="44"/>
        </w:rPr>
        <w:t>XX</w:t>
      </w:r>
      <w:r>
        <w:rPr>
          <w:rFonts w:eastAsia="方正小标宋_GBK" w:hint="eastAsia"/>
          <w:sz w:val="44"/>
          <w:szCs w:val="44"/>
        </w:rPr>
        <w:t>年度</w:t>
      </w:r>
      <w:r>
        <w:rPr>
          <w:rFonts w:eastAsia="方正小标宋_GBK"/>
          <w:sz w:val="44"/>
          <w:szCs w:val="44"/>
        </w:rPr>
        <w:t>XX</w:t>
      </w:r>
      <w:r>
        <w:rPr>
          <w:rFonts w:eastAsia="方正小标宋_GBK" w:hint="eastAsia"/>
          <w:sz w:val="44"/>
          <w:szCs w:val="44"/>
        </w:rPr>
        <w:t>市市域内耕地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 w:hint="eastAsia"/>
          <w:sz w:val="44"/>
          <w:szCs w:val="44"/>
        </w:rPr>
        <w:t>进出平衡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 w:hint="eastAsia"/>
          <w:sz w:val="44"/>
          <w:szCs w:val="44"/>
        </w:rPr>
        <w:t>指标调剂台账</w:t>
      </w:r>
    </w:p>
    <w:p w:rsidR="00E334F6" w:rsidRDefault="00E334F6" w:rsidP="00E334F6">
      <w:pPr>
        <w:ind w:left="6720" w:hangingChars="2100" w:hanging="67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单位：公顷</w:t>
      </w:r>
    </w:p>
    <w:p w:rsidR="00E334F6" w:rsidRDefault="00E334F6" w:rsidP="00E334F6">
      <w:pPr>
        <w:jc w:val="left"/>
        <w:rPr>
          <w:rFonts w:eastAsia="仿宋_GB2312"/>
          <w:sz w:val="24"/>
          <w:szCs w:val="32"/>
        </w:rPr>
      </w:pPr>
    </w:p>
    <w:tbl>
      <w:tblPr>
        <w:tblW w:w="0" w:type="auto"/>
        <w:jc w:val="center"/>
        <w:tblLook w:val="04A0"/>
      </w:tblPr>
      <w:tblGrid>
        <w:gridCol w:w="913"/>
        <w:gridCol w:w="2125"/>
        <w:gridCol w:w="1135"/>
        <w:gridCol w:w="1134"/>
        <w:gridCol w:w="1364"/>
        <w:gridCol w:w="955"/>
        <w:gridCol w:w="1028"/>
        <w:gridCol w:w="1148"/>
        <w:gridCol w:w="4279"/>
      </w:tblGrid>
      <w:tr w:rsidR="00E334F6" w:rsidTr="00E334F6">
        <w:trPr>
          <w:trHeight w:val="732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行政区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调剂前指标情况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调剂指标</w:t>
            </w:r>
          </w:p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（调出为负值，调入为正值）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调剂后指标情况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E334F6" w:rsidTr="00E334F6">
        <w:trPr>
          <w:trHeight w:val="73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耕地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水田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耕地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水田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耕地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水田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E334F6" w:rsidTr="00E334F6">
        <w:trPr>
          <w:trHeight w:val="73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市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rFonts w:eastAsia="等线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rFonts w:eastAsia="等线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rFonts w:eastAsia="等线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rFonts w:eastAsia="等线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rFonts w:eastAsia="等线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rFonts w:eastAsia="等线"/>
                <w:kern w:val="0"/>
                <w:sz w:val="28"/>
                <w:szCs w:val="28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调出</w:t>
            </w:r>
            <w:r>
              <w:rPr>
                <w:rFonts w:eastAsia="仿宋_GB2312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公顷耕地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水田至</w:t>
            </w:r>
            <w:r>
              <w:rPr>
                <w:rFonts w:eastAsia="仿宋_GB2312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县（或从</w:t>
            </w:r>
            <w:r>
              <w:rPr>
                <w:rFonts w:eastAsia="仿宋_GB2312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县调入</w:t>
            </w:r>
            <w:r>
              <w:rPr>
                <w:rFonts w:eastAsia="仿宋_GB2312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公顷耕地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水田）</w:t>
            </w:r>
          </w:p>
        </w:tc>
      </w:tr>
      <w:tr w:rsidR="00E334F6" w:rsidTr="00E334F6">
        <w:trPr>
          <w:trHeight w:val="7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334F6" w:rsidTr="00E334F6">
        <w:trPr>
          <w:trHeight w:val="7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E334F6" w:rsidTr="00E334F6">
        <w:trPr>
          <w:trHeight w:val="732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</w:tbl>
    <w:p w:rsidR="00E334F6" w:rsidRDefault="00E334F6" w:rsidP="00E334F6">
      <w:pPr>
        <w:widowControl/>
        <w:jc w:val="left"/>
        <w:rPr>
          <w:rFonts w:eastAsia="仿宋_GB2312"/>
          <w:sz w:val="32"/>
          <w:szCs w:val="32"/>
        </w:rPr>
        <w:sectPr w:rsidR="00E334F6">
          <w:pgSz w:w="16838" w:h="11906" w:orient="landscape"/>
          <w:pgMar w:top="1797" w:right="1440" w:bottom="1797" w:left="1440" w:header="851" w:footer="992" w:gutter="0"/>
          <w:cols w:space="720"/>
        </w:sectPr>
      </w:pPr>
    </w:p>
    <w:p w:rsidR="00E334F6" w:rsidRDefault="00E334F6" w:rsidP="00E334F6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E334F6" w:rsidRDefault="00E334F6" w:rsidP="00E334F6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E334F6" w:rsidRDefault="00E334F6" w:rsidP="00E334F6">
      <w:pPr>
        <w:spacing w:line="560" w:lineRule="exact"/>
        <w:jc w:val="center"/>
        <w:rPr>
          <w:rFonts w:eastAsia="方正小标宋简体"/>
          <w:sz w:val="44"/>
          <w:szCs w:val="44"/>
          <w:lang/>
        </w:rPr>
      </w:pPr>
      <w:r>
        <w:rPr>
          <w:rFonts w:eastAsia="方正小标宋简体"/>
          <w:sz w:val="44"/>
          <w:szCs w:val="44"/>
        </w:rPr>
        <w:t>XX</w:t>
      </w:r>
      <w:r>
        <w:rPr>
          <w:rFonts w:eastAsia="方正小标宋简体" w:hint="eastAsia"/>
          <w:sz w:val="44"/>
          <w:szCs w:val="44"/>
        </w:rPr>
        <w:t>市人民政府关于申请耕地</w:t>
      </w:r>
      <w:r>
        <w:rPr>
          <w:rFonts w:eastAsia="方正小标宋简体"/>
          <w:sz w:val="44"/>
          <w:szCs w:val="44"/>
          <w:lang/>
        </w:rPr>
        <w:t>“</w:t>
      </w:r>
      <w:r>
        <w:rPr>
          <w:rFonts w:eastAsia="方正小标宋简体" w:hint="eastAsia"/>
          <w:sz w:val="44"/>
          <w:szCs w:val="44"/>
          <w:lang/>
        </w:rPr>
        <w:t>进出平衡</w:t>
      </w:r>
      <w:r>
        <w:rPr>
          <w:rFonts w:eastAsia="方正小标宋简体"/>
          <w:sz w:val="44"/>
          <w:szCs w:val="44"/>
          <w:lang/>
        </w:rPr>
        <w:t>”</w:t>
      </w:r>
    </w:p>
    <w:p w:rsidR="00E334F6" w:rsidRDefault="00E334F6" w:rsidP="00E334F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指标划转有关情况的函</w:t>
      </w:r>
    </w:p>
    <w:p w:rsidR="00E334F6" w:rsidRDefault="00E334F6" w:rsidP="00E334F6">
      <w:pPr>
        <w:spacing w:line="560" w:lineRule="exact"/>
        <w:jc w:val="center"/>
        <w:rPr>
          <w:rFonts w:eastAsia="楷体"/>
          <w:sz w:val="44"/>
          <w:szCs w:val="44"/>
        </w:rPr>
      </w:pPr>
      <w:r>
        <w:rPr>
          <w:rFonts w:eastAsia="楷体" w:hint="eastAsia"/>
          <w:sz w:val="32"/>
          <w:szCs w:val="32"/>
        </w:rPr>
        <w:t>（适用于跨市域统筹调剂）</w:t>
      </w:r>
    </w:p>
    <w:p w:rsidR="00E334F6" w:rsidRDefault="00E334F6" w:rsidP="00E334F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自治区自然资源厅：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根据国家和自治区关于全面落实耕地</w:t>
      </w:r>
      <w:r>
        <w:rPr>
          <w:rFonts w:eastAsia="仿宋_GB2312"/>
          <w:sz w:val="32"/>
          <w:szCs w:val="32"/>
          <w:lang/>
        </w:rPr>
        <w:t>“</w:t>
      </w:r>
      <w:r>
        <w:rPr>
          <w:rFonts w:eastAsia="仿宋_GB2312" w:hint="eastAsia"/>
          <w:sz w:val="32"/>
          <w:szCs w:val="32"/>
          <w:lang/>
        </w:rPr>
        <w:t>进出平衡</w:t>
      </w:r>
      <w:r>
        <w:rPr>
          <w:rFonts w:eastAsia="仿宋_GB2312"/>
          <w:sz w:val="32"/>
          <w:szCs w:val="32"/>
          <w:lang/>
        </w:rPr>
        <w:t>”</w:t>
      </w:r>
      <w:r>
        <w:rPr>
          <w:rFonts w:eastAsia="仿宋_GB2312" w:hint="eastAsia"/>
          <w:sz w:val="32"/>
          <w:szCs w:val="32"/>
        </w:rPr>
        <w:t>的要求，我市已完成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年度市域内耕地</w:t>
      </w:r>
      <w:r>
        <w:rPr>
          <w:rFonts w:eastAsia="仿宋_GB2312"/>
          <w:sz w:val="32"/>
          <w:szCs w:val="32"/>
          <w:lang/>
        </w:rPr>
        <w:t>“</w:t>
      </w:r>
      <w:r>
        <w:rPr>
          <w:rFonts w:eastAsia="仿宋_GB2312" w:hint="eastAsia"/>
          <w:sz w:val="32"/>
          <w:szCs w:val="32"/>
          <w:lang/>
        </w:rPr>
        <w:t>进出平衡</w:t>
      </w:r>
      <w:r>
        <w:rPr>
          <w:rFonts w:eastAsia="仿宋_GB2312"/>
          <w:sz w:val="32"/>
          <w:szCs w:val="32"/>
          <w:lang/>
        </w:rPr>
        <w:t>”</w:t>
      </w:r>
      <w:r>
        <w:rPr>
          <w:rFonts w:eastAsia="仿宋_GB2312" w:hint="eastAsia"/>
          <w:sz w:val="32"/>
          <w:szCs w:val="32"/>
        </w:rPr>
        <w:t>指标调剂工作，并通过自主协商方式将结余指标跨市域调出。具体调剂内容如下：</w:t>
      </w:r>
    </w:p>
    <w:p w:rsidR="00E334F6" w:rsidRDefault="00E334F6" w:rsidP="00E334F6">
      <w:pPr>
        <w:pStyle w:val="a3"/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一、耕地保护目标完成情况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我市所辖县（市、区）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个，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年度，我市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个县（市、区）已全部完成耕地保护目标。</w:t>
      </w:r>
    </w:p>
    <w:p w:rsidR="00E334F6" w:rsidRDefault="00E334F6" w:rsidP="00E334F6">
      <w:pPr>
        <w:pStyle w:val="a3"/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二、指标总体情况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lang/>
        </w:rPr>
        <w:t>耕地卫片监督与进出平衡监管系统</w:t>
      </w:r>
      <w:r>
        <w:rPr>
          <w:rFonts w:eastAsia="仿宋_GB2312" w:hint="eastAsia"/>
          <w:sz w:val="32"/>
          <w:szCs w:val="32"/>
        </w:rPr>
        <w:t>下发的年度进出平衡基础台账显示，我市流入耕地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公顷，水田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公顷；流出耕地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公顷，水田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公顷；结余耕地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公顷，水田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公顷。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我市辖区内完成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年度耕地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任务的县（市、区）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个，分别是</w:t>
      </w:r>
      <w:r>
        <w:rPr>
          <w:rFonts w:eastAsia="仿宋_GB2312"/>
          <w:sz w:val="32"/>
          <w:szCs w:val="32"/>
        </w:rPr>
        <w:t>……</w:t>
      </w:r>
      <w:r>
        <w:rPr>
          <w:rFonts w:eastAsia="仿宋_GB2312" w:hint="eastAsia"/>
          <w:sz w:val="32"/>
          <w:szCs w:val="32"/>
        </w:rPr>
        <w:t>，其中有耕地指标结余的县（市、区）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个，分别是</w:t>
      </w:r>
      <w:r>
        <w:rPr>
          <w:rFonts w:eastAsia="仿宋_GB2312"/>
          <w:bCs/>
          <w:sz w:val="32"/>
          <w:szCs w:val="32"/>
        </w:rPr>
        <w:t>……</w:t>
      </w:r>
      <w:r>
        <w:rPr>
          <w:rFonts w:eastAsia="仿宋_GB2312" w:hint="eastAsia"/>
          <w:sz w:val="32"/>
          <w:szCs w:val="32"/>
        </w:rPr>
        <w:t>；未完成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年度耕地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任务的县（市、区）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个，分别是</w:t>
      </w:r>
      <w:r>
        <w:rPr>
          <w:rFonts w:eastAsia="仿宋_GB2312"/>
          <w:sz w:val="32"/>
          <w:szCs w:val="32"/>
        </w:rPr>
        <w:t>……</w:t>
      </w:r>
      <w:r>
        <w:rPr>
          <w:rFonts w:eastAsia="仿宋_GB2312" w:hint="eastAsia"/>
          <w:sz w:val="32"/>
          <w:szCs w:val="32"/>
        </w:rPr>
        <w:t>。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ind w:firstLine="645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三、指标调剂情况</w:t>
      </w:r>
    </w:p>
    <w:p w:rsidR="00E334F6" w:rsidRDefault="00E334F6" w:rsidP="00E334F6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（一）市域内统筹调剂。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我市辖区内满足跨县域调出指标的县（市、区）有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个，分别是</w:t>
      </w:r>
      <w:r>
        <w:rPr>
          <w:rFonts w:eastAsia="仿宋_GB2312"/>
          <w:bCs/>
          <w:sz w:val="32"/>
          <w:szCs w:val="32"/>
        </w:rPr>
        <w:t>……</w:t>
      </w:r>
      <w:r>
        <w:rPr>
          <w:rFonts w:eastAsia="仿宋_GB2312" w:hint="eastAsia"/>
          <w:sz w:val="32"/>
          <w:szCs w:val="32"/>
        </w:rPr>
        <w:t>。经统筹调剂，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年度我市市域内共调剂指标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公顷，其中耕地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公顷，水田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公顷，从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县调出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公顷耕地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水田至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……</w:t>
      </w:r>
      <w:r>
        <w:rPr>
          <w:rFonts w:eastAsia="仿宋_GB2312" w:hint="eastAsia"/>
          <w:sz w:val="32"/>
          <w:szCs w:val="32"/>
        </w:rPr>
        <w:t>，共涉及资金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万元。指标调剂后，我市辖区内各县（市、区）全部完成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年度耕地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任务，且全市仍有结余耕地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公顷，水田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公顷。根据耕地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指标调剂要求，我市结余指标可用于跨市域统筹调剂。市域内统筹调剂情况及调剂资金详见附件</w:t>
      </w:r>
      <w:r>
        <w:rPr>
          <w:rFonts w:eastAsia="仿宋_GB2312"/>
          <w:sz w:val="32"/>
          <w:szCs w:val="32"/>
        </w:rPr>
        <w:t>2-1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2-2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2-3</w:t>
      </w:r>
      <w:r>
        <w:rPr>
          <w:rFonts w:eastAsia="仿宋_GB2312" w:hint="eastAsia"/>
          <w:sz w:val="32"/>
          <w:szCs w:val="32"/>
        </w:rPr>
        <w:t>。</w:t>
      </w:r>
    </w:p>
    <w:p w:rsidR="00E334F6" w:rsidRDefault="00E334F6" w:rsidP="00E334F6">
      <w:pPr>
        <w:spacing w:line="560" w:lineRule="exact"/>
        <w:ind w:firstLineChars="200" w:firstLine="640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（二）跨市域统筹调剂。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我市跨市域共申请调出指标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公顷，其中耕地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公顷，水田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公顷，不超过结余的耕地和水田指标，从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县调出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公顷耕地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水田至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……</w:t>
      </w:r>
      <w:r>
        <w:rPr>
          <w:rFonts w:eastAsia="仿宋_GB2312" w:hint="eastAsia"/>
          <w:sz w:val="32"/>
          <w:szCs w:val="32"/>
        </w:rPr>
        <w:t>，共涉及资金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万元。指标调剂后，仍结余耕地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公顷，水田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公顷。跨市域调剂情况及调剂资金详见附件</w:t>
      </w:r>
      <w:r>
        <w:rPr>
          <w:rFonts w:eastAsia="仿宋_GB2312"/>
          <w:sz w:val="32"/>
          <w:szCs w:val="32"/>
        </w:rPr>
        <w:t>2-4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2-5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2-6</w:t>
      </w:r>
      <w:r>
        <w:rPr>
          <w:rFonts w:eastAsia="仿宋_GB2312" w:hint="eastAsia"/>
          <w:sz w:val="32"/>
          <w:szCs w:val="32"/>
        </w:rPr>
        <w:t>。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综上，请贵厅在</w:t>
      </w:r>
      <w:r>
        <w:rPr>
          <w:rFonts w:eastAsia="仿宋_GB2312" w:hint="eastAsia"/>
          <w:sz w:val="32"/>
          <w:szCs w:val="32"/>
          <w:lang/>
        </w:rPr>
        <w:t>耕地卫片监督与进出平衡监管系统</w:t>
      </w:r>
      <w:r>
        <w:rPr>
          <w:rFonts w:eastAsia="仿宋_GB2312" w:hint="eastAsia"/>
          <w:sz w:val="32"/>
          <w:szCs w:val="32"/>
        </w:rPr>
        <w:t>中将我市市域内及跨市域调剂的指标进行相应划转。</w:t>
      </w:r>
    </w:p>
    <w:p w:rsidR="00E334F6" w:rsidRDefault="00E334F6" w:rsidP="00E334F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ind w:leftChars="303" w:left="2374" w:hangingChars="543" w:hanging="173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2-1. XX</w:t>
      </w:r>
      <w:r>
        <w:rPr>
          <w:rFonts w:eastAsia="仿宋_GB2312" w:hint="eastAsia"/>
          <w:sz w:val="32"/>
          <w:szCs w:val="32"/>
        </w:rPr>
        <w:t>年度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市市域内耕地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指标调</w:t>
      </w:r>
    </w:p>
    <w:p w:rsidR="00E334F6" w:rsidRDefault="00E334F6" w:rsidP="00E334F6">
      <w:pPr>
        <w:spacing w:line="560" w:lineRule="exact"/>
        <w:ind w:leftChars="911" w:left="2367" w:hangingChars="142" w:hanging="45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剂台账</w:t>
      </w:r>
    </w:p>
    <w:p w:rsidR="00E334F6" w:rsidRDefault="00E334F6" w:rsidP="00E334F6">
      <w:pPr>
        <w:spacing w:line="560" w:lineRule="exact"/>
        <w:ind w:left="2240" w:hangingChars="700" w:hanging="22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2-2.</w:t>
      </w:r>
      <w:r>
        <w:rPr>
          <w:rFonts w:eastAsia="仿宋_GB2312" w:hint="eastAsia"/>
          <w:sz w:val="32"/>
          <w:szCs w:val="32"/>
        </w:rPr>
        <w:t>市域内耕地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指标调剂协议（样式</w:t>
      </w:r>
    </w:p>
    <w:p w:rsidR="00E334F6" w:rsidRDefault="00E334F6" w:rsidP="00E334F6">
      <w:pPr>
        <w:spacing w:line="560" w:lineRule="exact"/>
        <w:ind w:leftChars="912" w:left="2235" w:hangingChars="100" w:hanging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略）</w:t>
      </w:r>
    </w:p>
    <w:p w:rsidR="00E334F6" w:rsidRDefault="00E334F6" w:rsidP="00E334F6">
      <w:pPr>
        <w:spacing w:line="560" w:lineRule="exact"/>
        <w:ind w:firstLineChars="462" w:firstLine="147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2-3.</w:t>
      </w:r>
      <w:r>
        <w:rPr>
          <w:rFonts w:eastAsia="仿宋_GB2312" w:hint="eastAsia"/>
          <w:sz w:val="32"/>
          <w:szCs w:val="32"/>
        </w:rPr>
        <w:t>市域内耕地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指标调剂价款支付票</w:t>
      </w:r>
    </w:p>
    <w:p w:rsidR="00E334F6" w:rsidRDefault="00E334F6" w:rsidP="00E334F6">
      <w:pPr>
        <w:spacing w:line="560" w:lineRule="exact"/>
        <w:ind w:leftChars="760" w:left="159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据（国内支付业务付款回单、财政资金授权支付凭证、网上银行电子回单等，提供任一凭证均可）（样式略）</w:t>
      </w:r>
    </w:p>
    <w:p w:rsidR="00E334F6" w:rsidRDefault="00E334F6" w:rsidP="00E334F6">
      <w:pPr>
        <w:spacing w:line="560" w:lineRule="exact"/>
        <w:ind w:leftChars="608" w:left="1917" w:hangingChars="200" w:hanging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2-4.XX</w:t>
      </w:r>
      <w:r>
        <w:rPr>
          <w:rFonts w:eastAsia="仿宋_GB2312" w:hint="eastAsia"/>
          <w:sz w:val="32"/>
          <w:szCs w:val="32"/>
        </w:rPr>
        <w:t>年度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市跨市域耕地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指标调剂台账</w:t>
      </w:r>
    </w:p>
    <w:p w:rsidR="00E334F6" w:rsidRDefault="00E334F6" w:rsidP="00E334F6">
      <w:pPr>
        <w:spacing w:line="56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2-5.</w:t>
      </w:r>
      <w:r>
        <w:rPr>
          <w:rFonts w:eastAsia="仿宋_GB2312" w:hint="eastAsia"/>
          <w:sz w:val="32"/>
          <w:szCs w:val="32"/>
        </w:rPr>
        <w:t>跨市域耕地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指标调剂协议（样式略）</w:t>
      </w:r>
    </w:p>
    <w:p w:rsidR="00E334F6" w:rsidRDefault="00E334F6" w:rsidP="00E334F6">
      <w:pPr>
        <w:spacing w:line="560" w:lineRule="exact"/>
        <w:ind w:leftChars="608" w:left="1597" w:hangingChars="100" w:hanging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2-6.</w:t>
      </w:r>
      <w:r>
        <w:rPr>
          <w:rFonts w:eastAsia="仿宋_GB2312" w:hint="eastAsia"/>
          <w:sz w:val="32"/>
          <w:szCs w:val="32"/>
        </w:rPr>
        <w:t>跨市域耕地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进出平衡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指标调剂价款支付票据（国内支付业务付款回单、财政资金授权支付凭</w:t>
      </w:r>
    </w:p>
    <w:p w:rsidR="00E334F6" w:rsidRDefault="00E334F6" w:rsidP="00E334F6">
      <w:pPr>
        <w:spacing w:line="560" w:lineRule="exact"/>
        <w:ind w:leftChars="912" w:left="191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证、网上银行电子回单等，提供任一凭证均可）（样式略）</w:t>
      </w:r>
    </w:p>
    <w:p w:rsidR="00E334F6" w:rsidRDefault="00E334F6" w:rsidP="00E334F6">
      <w:pPr>
        <w:spacing w:line="560" w:lineRule="exact"/>
        <w:ind w:firstLineChars="800" w:firstLine="2560"/>
        <w:jc w:val="left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ind w:firstLineChars="800" w:firstLine="2560"/>
        <w:jc w:val="left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ind w:firstLineChars="800" w:firstLine="2560"/>
        <w:jc w:val="left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XX</w:t>
      </w:r>
      <w:r>
        <w:rPr>
          <w:rFonts w:eastAsia="仿宋_GB2312" w:hint="eastAsia"/>
          <w:sz w:val="32"/>
          <w:szCs w:val="32"/>
        </w:rPr>
        <w:t>市人民政府</w:t>
      </w:r>
    </w:p>
    <w:p w:rsidR="00E334F6" w:rsidRDefault="00E334F6" w:rsidP="00E334F6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年月日</w:t>
      </w:r>
    </w:p>
    <w:p w:rsidR="00E334F6" w:rsidRDefault="00E334F6" w:rsidP="00E334F6">
      <w:pPr>
        <w:spacing w:line="560" w:lineRule="exact"/>
        <w:ind w:firstLine="645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（联系人：</w:t>
      </w:r>
      <w:r>
        <w:rPr>
          <w:rFonts w:eastAsia="仿宋_GB2312"/>
          <w:sz w:val="32"/>
          <w:szCs w:val="32"/>
        </w:rPr>
        <w:t xml:space="preserve">XXX </w:t>
      </w: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XXXXXXX</w:t>
      </w:r>
      <w:r>
        <w:rPr>
          <w:rFonts w:eastAsia="仿宋_GB2312" w:hint="eastAsia"/>
          <w:sz w:val="32"/>
          <w:szCs w:val="32"/>
        </w:rPr>
        <w:t>）</w:t>
      </w:r>
    </w:p>
    <w:p w:rsidR="00E334F6" w:rsidRDefault="00E334F6" w:rsidP="00E334F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E334F6" w:rsidRDefault="00E334F6" w:rsidP="00E334F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E334F6" w:rsidRDefault="00E334F6" w:rsidP="00E334F6">
      <w:pPr>
        <w:widowControl/>
        <w:jc w:val="left"/>
        <w:rPr>
          <w:rFonts w:eastAsia="仿宋_GB2312"/>
          <w:sz w:val="32"/>
          <w:szCs w:val="32"/>
        </w:rPr>
        <w:sectPr w:rsidR="00E334F6">
          <w:pgSz w:w="11906" w:h="16838"/>
          <w:pgMar w:top="1440" w:right="1797" w:bottom="1440" w:left="1797" w:header="851" w:footer="992" w:gutter="0"/>
          <w:cols w:space="720"/>
        </w:sectPr>
      </w:pPr>
    </w:p>
    <w:p w:rsidR="00E334F6" w:rsidRDefault="00E334F6" w:rsidP="00E334F6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2-1</w:t>
      </w:r>
    </w:p>
    <w:p w:rsidR="00E334F6" w:rsidRDefault="00E334F6" w:rsidP="00E334F6">
      <w:pPr>
        <w:spacing w:line="560" w:lineRule="exact"/>
        <w:ind w:firstLineChars="200" w:firstLine="880"/>
        <w:jc w:val="center"/>
        <w:rPr>
          <w:rFonts w:eastAsia="仿宋_GB2312"/>
          <w:sz w:val="32"/>
          <w:szCs w:val="32"/>
        </w:rPr>
      </w:pPr>
      <w:r>
        <w:rPr>
          <w:rFonts w:eastAsia="方正小标宋_GBK"/>
          <w:sz w:val="44"/>
          <w:szCs w:val="44"/>
        </w:rPr>
        <w:t>XX</w:t>
      </w:r>
      <w:r>
        <w:rPr>
          <w:rFonts w:eastAsia="方正小标宋_GBK" w:hint="eastAsia"/>
          <w:sz w:val="44"/>
          <w:szCs w:val="44"/>
        </w:rPr>
        <w:t>年度</w:t>
      </w:r>
      <w:r>
        <w:rPr>
          <w:rFonts w:eastAsia="方正小标宋_GBK"/>
          <w:sz w:val="44"/>
          <w:szCs w:val="44"/>
        </w:rPr>
        <w:t>XX</w:t>
      </w:r>
      <w:r>
        <w:rPr>
          <w:rFonts w:eastAsia="方正小标宋_GBK" w:hint="eastAsia"/>
          <w:sz w:val="44"/>
          <w:szCs w:val="44"/>
        </w:rPr>
        <w:t>市市域内耕地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 w:hint="eastAsia"/>
          <w:sz w:val="44"/>
          <w:szCs w:val="44"/>
        </w:rPr>
        <w:t>进出平衡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 w:hint="eastAsia"/>
          <w:sz w:val="44"/>
          <w:szCs w:val="44"/>
        </w:rPr>
        <w:t>指标调剂台账</w:t>
      </w:r>
    </w:p>
    <w:p w:rsidR="00E334F6" w:rsidRDefault="00E334F6" w:rsidP="00E334F6">
      <w:pPr>
        <w:ind w:left="6720" w:hangingChars="2100" w:hanging="6720"/>
        <w:jc w:val="right"/>
        <w:rPr>
          <w:rFonts w:eastAsia="仿宋_GB2312"/>
          <w:sz w:val="32"/>
          <w:szCs w:val="32"/>
        </w:rPr>
      </w:pPr>
    </w:p>
    <w:p w:rsidR="00E334F6" w:rsidRDefault="00E334F6" w:rsidP="00E334F6">
      <w:pPr>
        <w:ind w:left="6720" w:hangingChars="2100" w:hanging="672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单位：公顷</w:t>
      </w:r>
    </w:p>
    <w:tbl>
      <w:tblPr>
        <w:tblpPr w:leftFromText="180" w:rightFromText="180" w:vertAnchor="text" w:horzAnchor="page" w:tblpX="1513" w:tblpY="210"/>
        <w:tblOverlap w:val="never"/>
        <w:tblW w:w="0" w:type="auto"/>
        <w:tblLook w:val="04A0"/>
      </w:tblPr>
      <w:tblGrid>
        <w:gridCol w:w="913"/>
        <w:gridCol w:w="2125"/>
        <w:gridCol w:w="1135"/>
        <w:gridCol w:w="1134"/>
        <w:gridCol w:w="1364"/>
        <w:gridCol w:w="955"/>
        <w:gridCol w:w="1028"/>
        <w:gridCol w:w="1148"/>
        <w:gridCol w:w="4279"/>
      </w:tblGrid>
      <w:tr w:rsidR="00E334F6" w:rsidTr="00E334F6">
        <w:trPr>
          <w:trHeight w:val="732"/>
        </w:trPr>
        <w:tc>
          <w:tcPr>
            <w:tcW w:w="3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行政区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调剂前指标情况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调剂指标</w:t>
            </w:r>
          </w:p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（调出为负值，调入为正值）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调剂后指标情况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E334F6" w:rsidTr="00E334F6">
        <w:trPr>
          <w:trHeight w:val="7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耕地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水田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耕地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水田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耕地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水田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E334F6" w:rsidTr="00E334F6">
        <w:trPr>
          <w:trHeight w:val="732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市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8"/>
                <w:szCs w:val="28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调出</w:t>
            </w:r>
            <w:r>
              <w:rPr>
                <w:rFonts w:eastAsia="仿宋_GB2312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公顷耕地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水田至</w:t>
            </w:r>
            <w:r>
              <w:rPr>
                <w:rFonts w:eastAsia="仿宋_GB2312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县（或从</w:t>
            </w:r>
            <w:r>
              <w:rPr>
                <w:rFonts w:eastAsia="仿宋_GB2312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县调入</w:t>
            </w:r>
            <w:r>
              <w:rPr>
                <w:rFonts w:eastAsia="仿宋_GB2312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公顷耕地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水田）</w:t>
            </w:r>
          </w:p>
        </w:tc>
      </w:tr>
      <w:tr w:rsidR="00E334F6" w:rsidTr="00E334F6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等线"/>
                <w:kern w:val="0"/>
                <w:sz w:val="22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</w:tr>
      <w:tr w:rsidR="00E334F6" w:rsidTr="00E334F6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</w:tr>
      <w:tr w:rsidR="00E334F6" w:rsidTr="00E334F6">
        <w:trPr>
          <w:trHeight w:val="732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F6" w:rsidRDefault="00E334F6">
            <w:pPr>
              <w:widowControl/>
              <w:spacing w:line="400" w:lineRule="exact"/>
              <w:jc w:val="center"/>
              <w:rPr>
                <w:kern w:val="0"/>
                <w:sz w:val="22"/>
              </w:rPr>
            </w:pPr>
          </w:p>
        </w:tc>
      </w:tr>
    </w:tbl>
    <w:p w:rsidR="00E334F6" w:rsidRDefault="00E334F6" w:rsidP="00E334F6">
      <w:pPr>
        <w:jc w:val="left"/>
        <w:rPr>
          <w:rFonts w:eastAsia="仿宋_GB2312"/>
          <w:sz w:val="24"/>
          <w:szCs w:val="32"/>
        </w:rPr>
      </w:pPr>
    </w:p>
    <w:p w:rsidR="00E334F6" w:rsidRDefault="00E334F6" w:rsidP="00E334F6">
      <w:pPr>
        <w:jc w:val="left"/>
        <w:rPr>
          <w:rFonts w:eastAsia="黑体"/>
          <w:sz w:val="32"/>
          <w:szCs w:val="32"/>
        </w:rPr>
      </w:pPr>
    </w:p>
    <w:p w:rsidR="00E334F6" w:rsidRDefault="00E334F6" w:rsidP="00E334F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2-4</w:t>
      </w:r>
    </w:p>
    <w:p w:rsidR="00E334F6" w:rsidRDefault="00E334F6" w:rsidP="00E334F6">
      <w:pPr>
        <w:jc w:val="left"/>
        <w:rPr>
          <w:rFonts w:eastAsia="黑体"/>
          <w:sz w:val="32"/>
          <w:szCs w:val="32"/>
        </w:rPr>
      </w:pPr>
    </w:p>
    <w:p w:rsidR="00E334F6" w:rsidRDefault="00E334F6" w:rsidP="00E334F6">
      <w:pPr>
        <w:spacing w:line="56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XX</w:t>
      </w:r>
      <w:r>
        <w:rPr>
          <w:rFonts w:eastAsia="方正小标宋_GBK" w:hint="eastAsia"/>
          <w:sz w:val="44"/>
          <w:szCs w:val="44"/>
        </w:rPr>
        <w:t>年度</w:t>
      </w:r>
      <w:r>
        <w:rPr>
          <w:rFonts w:eastAsia="方正小标宋_GBK"/>
          <w:sz w:val="44"/>
          <w:szCs w:val="44"/>
        </w:rPr>
        <w:t>XX</w:t>
      </w:r>
      <w:r>
        <w:rPr>
          <w:rFonts w:eastAsia="方正小标宋_GBK" w:hint="eastAsia"/>
          <w:sz w:val="44"/>
          <w:szCs w:val="44"/>
        </w:rPr>
        <w:t>市跨市域耕地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 w:hint="eastAsia"/>
          <w:sz w:val="44"/>
          <w:szCs w:val="44"/>
        </w:rPr>
        <w:t>进出平衡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 w:hint="eastAsia"/>
          <w:sz w:val="44"/>
          <w:szCs w:val="44"/>
        </w:rPr>
        <w:t>指标调剂台账</w:t>
      </w:r>
    </w:p>
    <w:p w:rsidR="00E334F6" w:rsidRDefault="00E334F6" w:rsidP="00E334F6">
      <w:pPr>
        <w:jc w:val="center"/>
        <w:rPr>
          <w:rFonts w:eastAsia="仿宋_GB2312"/>
          <w:sz w:val="32"/>
          <w:szCs w:val="32"/>
        </w:rPr>
      </w:pPr>
    </w:p>
    <w:p w:rsidR="00E334F6" w:rsidRDefault="00E334F6" w:rsidP="00E334F6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单位：公顷</w:t>
      </w:r>
    </w:p>
    <w:tbl>
      <w:tblPr>
        <w:tblW w:w="13512" w:type="dxa"/>
        <w:jc w:val="center"/>
        <w:tblLook w:val="04A0"/>
      </w:tblPr>
      <w:tblGrid>
        <w:gridCol w:w="1220"/>
        <w:gridCol w:w="1528"/>
        <w:gridCol w:w="792"/>
        <w:gridCol w:w="960"/>
        <w:gridCol w:w="2100"/>
        <w:gridCol w:w="2100"/>
        <w:gridCol w:w="960"/>
        <w:gridCol w:w="960"/>
        <w:gridCol w:w="1220"/>
        <w:gridCol w:w="1672"/>
      </w:tblGrid>
      <w:tr w:rsidR="00E334F6" w:rsidTr="00E334F6">
        <w:trPr>
          <w:trHeight w:val="684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调出方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调剂前指标情况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调剂指标</w:t>
            </w:r>
            <w:r>
              <w:rPr>
                <w:rFonts w:eastAsia="黑体"/>
                <w:kern w:val="0"/>
                <w:sz w:val="28"/>
                <w:szCs w:val="28"/>
              </w:rPr>
              <w:br/>
            </w:r>
            <w:r>
              <w:rPr>
                <w:rFonts w:eastAsia="黑体" w:hint="eastAsia"/>
                <w:kern w:val="0"/>
                <w:sz w:val="28"/>
                <w:szCs w:val="28"/>
              </w:rPr>
              <w:t>（调出为负值，调入为正值）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调剂后指标</w:t>
            </w:r>
            <w:r>
              <w:rPr>
                <w:rFonts w:eastAsia="黑体"/>
                <w:kern w:val="0"/>
                <w:sz w:val="28"/>
                <w:szCs w:val="28"/>
              </w:rPr>
              <w:br/>
            </w:r>
            <w:r>
              <w:rPr>
                <w:rFonts w:eastAsia="黑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调入方</w:t>
            </w:r>
          </w:p>
        </w:tc>
      </w:tr>
      <w:tr w:rsidR="00E334F6" w:rsidTr="00E334F6">
        <w:trPr>
          <w:trHeight w:val="69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县（区、市）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耕地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水田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耕地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水田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耕地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水田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县（区、市）</w:t>
            </w:r>
          </w:p>
        </w:tc>
      </w:tr>
      <w:tr w:rsidR="00E334F6" w:rsidTr="00E334F6">
        <w:trPr>
          <w:trHeight w:val="515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仿宋_GB2312"/>
                <w:kern w:val="0"/>
                <w:sz w:val="28"/>
                <w:szCs w:val="28"/>
              </w:rPr>
              <w:t>XX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市</w:t>
            </w:r>
          </w:p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34F6" w:rsidTr="00E334F6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34F6" w:rsidTr="00E334F6">
        <w:trPr>
          <w:trHeight w:val="5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F6" w:rsidRDefault="00E334F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334F6" w:rsidRDefault="00E334F6" w:rsidP="00E334F6">
      <w:pPr>
        <w:widowControl/>
        <w:jc w:val="left"/>
        <w:rPr>
          <w:rFonts w:eastAsia="仿宋_GB2312"/>
          <w:sz w:val="32"/>
          <w:szCs w:val="32"/>
        </w:rPr>
        <w:sectPr w:rsidR="00E334F6">
          <w:pgSz w:w="16838" w:h="11906" w:orient="landscape"/>
          <w:pgMar w:top="1797" w:right="1440" w:bottom="1797" w:left="1440" w:header="851" w:footer="992" w:gutter="0"/>
          <w:cols w:space="720"/>
        </w:sectPr>
      </w:pPr>
    </w:p>
    <w:p w:rsidR="0002262B" w:rsidRDefault="0002262B">
      <w:pPr>
        <w:rPr>
          <w:rFonts w:hint="eastAsia"/>
        </w:rPr>
      </w:pPr>
    </w:p>
    <w:sectPr w:rsidR="0002262B" w:rsidSect="00022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4F6"/>
    <w:rsid w:val="0002262B"/>
    <w:rsid w:val="00E3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393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蒙盈盈</cp:lastModifiedBy>
  <cp:revision>1</cp:revision>
  <dcterms:created xsi:type="dcterms:W3CDTF">2023-06-14T08:04:00Z</dcterms:created>
  <dcterms:modified xsi:type="dcterms:W3CDTF">2023-06-14T08:05:00Z</dcterms:modified>
</cp:coreProperties>
</file>