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hd w:val="clear" w:color="auto" w:fill="FFFFFF"/>
        <w:snapToGrid w:val="0"/>
        <w:spacing w:line="560" w:lineRule="exact"/>
        <w:outlineLvl w:val="5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bookmarkStart w:id="0" w:name="_Hlk142057547"/>
      <w:bookmarkStart w:id="1" w:name="F_GongWenZW"/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</w:rPr>
        <w:t>建设项目压覆矿产资源情况查询表</w:t>
      </w:r>
    </w:p>
    <w:tbl>
      <w:tblPr>
        <w:tblStyle w:val="10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809"/>
        <w:gridCol w:w="3802"/>
        <w:gridCol w:w="1189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项目建设单位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3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项 目 名 称</w:t>
            </w: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1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项目批准（备案）机关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bookmarkStart w:id="35" w:name="_GoBack"/>
            <w:bookmarkEnd w:id="35"/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批准文号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8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压矿评估单位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建设项目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基本情况</w:t>
            </w: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拟用地范围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拐点坐标</w:t>
            </w: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  <w:t>（2000国家大地坐标系）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1，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2，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3，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27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压矿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评估范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围拐点坐标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  <w:t>（2000国家大地坐标系）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1，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2，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3，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评估范围确定的法律法规及有关工程建设标准、规范、论证报告等。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评估范围内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矿产资源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分布情况</w:t>
            </w: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6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评估范围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内矿业权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设置情况</w:t>
            </w: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0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自然资源主管部门意见</w:t>
            </w:r>
          </w:p>
        </w:tc>
        <w:tc>
          <w:tcPr>
            <w:tcW w:w="7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 xml:space="preserve">  （印章）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 xml:space="preserve"> 年  月  日</w:t>
            </w:r>
          </w:p>
        </w:tc>
      </w:tr>
    </w:tbl>
    <w:p>
      <w:pPr>
        <w:widowControl/>
        <w:shd w:val="clear" w:color="auto" w:fill="FFFFFF"/>
        <w:snapToGrid w:val="0"/>
        <w:spacing w:line="560" w:lineRule="exact"/>
        <w:outlineLvl w:val="5"/>
        <w:rPr>
          <w:rFonts w:hint="default" w:ascii="Times New Roman" w:hAnsi="Times New Roman" w:eastAsia="黑体" w:cs="Times New Roman"/>
          <w:color w:val="000000"/>
          <w:spacing w:val="1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附件2</w:t>
      </w:r>
    </w:p>
    <w:p>
      <w:pPr>
        <w:snapToGrid w:val="0"/>
        <w:spacing w:line="6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</w:rPr>
        <w:t>ⅩⅩ项目压覆重要矿产资源评估报告</w:t>
      </w:r>
    </w:p>
    <w:p>
      <w:pPr>
        <w:snapToGrid w:val="0"/>
        <w:spacing w:line="600" w:lineRule="exact"/>
        <w:ind w:firstLine="720" w:firstLineChars="200"/>
        <w:jc w:val="center"/>
        <w:rPr>
          <w:rFonts w:hint="default" w:ascii="Times New Roman" w:hAnsi="Times New Roman" w:eastAsia="楷体_GB2312" w:cs="Times New Roman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6"/>
          <w:szCs w:val="36"/>
          <w:highlight w:val="none"/>
        </w:rPr>
        <w:t>（编写提纲）</w:t>
      </w:r>
    </w:p>
    <w:p>
      <w:pPr>
        <w:snapToGrid w:val="0"/>
        <w:spacing w:line="560" w:lineRule="exact"/>
        <w:ind w:firstLine="600" w:firstLineChars="200"/>
        <w:jc w:val="center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</w:pPr>
    </w:p>
    <w:p>
      <w:pPr>
        <w:widowControl/>
        <w:tabs>
          <w:tab w:val="left" w:pos="360"/>
        </w:tabs>
        <w:overflowPunct w:val="0"/>
        <w:autoSpaceDE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</w:pPr>
      <w:bookmarkStart w:id="2" w:name="_Toc81210459"/>
      <w:bookmarkStart w:id="3" w:name="_Toc77790724"/>
      <w:bookmarkStart w:id="4" w:name="_Toc81239910"/>
      <w:r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  <w:t>一、概况</w:t>
      </w:r>
      <w:bookmarkEnd w:id="2"/>
      <w:bookmarkEnd w:id="3"/>
      <w:bookmarkEnd w:id="4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（一）建设项目概况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简要说明建设项目由来、主管机关、建设单位、设计单位，建设项目批准（备案）时间、机关及文号，拟建地点，拟用地范围坐标、面积，拟投资规模。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（二）目的任务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（三）本次评估工作概况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调查工作起止时间、工作范围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投入的主要工作量等。</w:t>
      </w:r>
    </w:p>
    <w:p>
      <w:pPr>
        <w:widowControl/>
        <w:tabs>
          <w:tab w:val="left" w:pos="360"/>
        </w:tabs>
        <w:overflowPunct w:val="0"/>
        <w:autoSpaceDE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</w:pPr>
      <w:bookmarkStart w:id="5" w:name="_Toc77790726"/>
      <w:bookmarkStart w:id="6" w:name="_Toc81239911"/>
      <w:bookmarkStart w:id="7" w:name="_Toc81210460"/>
      <w:r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  <w:t>二、建设项目压覆矿产资源调查</w:t>
      </w:r>
      <w:bookmarkEnd w:id="5"/>
      <w:bookmarkEnd w:id="6"/>
      <w:bookmarkEnd w:id="7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（一）评估范围的确定及依据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简述查询范围、评估范围的确定及依据；简述查询结果，理清查询范围内各矿区（矿业权、矿产地）、以往建设项目评估范围的空间关系、历史沿革，确定本次评估对象。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（二）工作方法及质量评述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简述采空区测量工作质量评述（若有），坐标转换质量评述；简述资料来源。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（三）评估对象基本情况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简述被压覆重要矿产资源的矿业权、矿产地设置基本情况；简述本次评估引用最近一次提交地质资料基本情况，包含勘查单位名称、工作时限、提交的地质资料名称、评审（备案、审批、认定、决议）情况、资源储量及开发利用情况，如依据的地质资料不属于自然资源主管部门评审的，应简述压覆矿区范围内矿体工程控制程度、探矿工程及采样测试质量等，同时需要提交与资源储量估算相关的原始地质资料；简述压覆矿区矿体（层）地质特征、矿石特征等结论性内容；简述压覆矿区开采现状、压覆范围及矿种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 w:val="0"/>
        <w:topLinePunct w:val="0"/>
        <w:autoSpaceDE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</w:pPr>
      <w:bookmarkStart w:id="8" w:name="_Toc76626223"/>
      <w:bookmarkStart w:id="9" w:name="_Toc81210462"/>
      <w:bookmarkStart w:id="10" w:name="_Toc77790728"/>
      <w:bookmarkStart w:id="11" w:name="_Toc81239913"/>
      <w:r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  <w:t>三、建设项目压覆矿产资源储量估算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（一）资源储量估算范围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资源储量估算范围拐点坐标、标高及面积。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工业指标、估算方法、估算参数的确定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简述采用工业指标的依据，评述矿体估算方法及块段分割方法的合理性，估算参数及资源量类型的确定。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（三）压覆资源储量估算结果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分矿体（层）估算压覆资源储量，按矿区（矿业权、矿产地）分类汇总，明确压覆资源储量估算基准日。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 w:val="0"/>
        <w:topLinePunct w:val="0"/>
        <w:autoSpaceDE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</w:pPr>
      <w:bookmarkStart w:id="12" w:name="_Toc76626222"/>
      <w:bookmarkStart w:id="13" w:name="_Toc77790727"/>
      <w:bookmarkStart w:id="14" w:name="_Toc81239912"/>
      <w:bookmarkStart w:id="15" w:name="_Toc81210461"/>
      <w:bookmarkStart w:id="16" w:name="_Toc81210463"/>
      <w:bookmarkStart w:id="17" w:name="_Toc77790729"/>
      <w:bookmarkStart w:id="18" w:name="_Toc81239914"/>
      <w:bookmarkStart w:id="19" w:name="_Toc76626224"/>
      <w:r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  <w:t>四、建设项目压覆矿产资源论证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（一）建设项目压覆矿产资源不可避免性论证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1．项目选址方案对比分析及现选址方案最优化论证。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2．项目设计方案对比分析及现设计方案最优化论证。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（二）社会经济效益对比分析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评述建设项目的社会经济效益</w:t>
      </w:r>
      <w:bookmarkEnd w:id="16"/>
      <w:bookmarkEnd w:id="17"/>
      <w:bookmarkEnd w:id="18"/>
      <w:bookmarkEnd w:id="19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；评述被压覆矿产资源的潜在社会经济效益；评述建设项目对矿区矿产资源勘查开采的影响，对比分析建设项目与被压覆矿产资源的经济社会效益。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（三）建设项目对重要矿产资源的保护措施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简要论述建设项目与被压覆重要矿产资源的空间关系，分析建设项目施工是否动用重要矿产资源，动用重要矿产资源的空间范围及资源量，提出被动用重要矿产资源的保护措施。</w:t>
      </w:r>
    </w:p>
    <w:p>
      <w:pPr>
        <w:widowControl/>
        <w:tabs>
          <w:tab w:val="left" w:pos="360"/>
        </w:tabs>
        <w:overflowPunct w:val="0"/>
        <w:autoSpaceDE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</w:pPr>
      <w:bookmarkStart w:id="20" w:name="_Toc77790730"/>
      <w:bookmarkStart w:id="21" w:name="_Toc76626225"/>
      <w:bookmarkStart w:id="22" w:name="_Toc81239915"/>
      <w:bookmarkStart w:id="23" w:name="_Toc81210464"/>
      <w:r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  <w:t>五、结论及建议</w:t>
      </w:r>
      <w:bookmarkEnd w:id="20"/>
      <w:bookmarkEnd w:id="21"/>
      <w:bookmarkEnd w:id="22"/>
      <w:bookmarkEnd w:id="23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评估结论。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总结评估目的任务完成情况，确定压覆资源储量。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eastAsia="zh-CN"/>
        </w:rPr>
        <w:t>工作建议。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说明压覆评估报告编制存在的问题，提出下一步工作的建议。</w:t>
      </w:r>
    </w:p>
    <w:p>
      <w:pPr>
        <w:widowControl/>
        <w:tabs>
          <w:tab w:val="left" w:pos="360"/>
        </w:tabs>
        <w:overflowPunct w:val="0"/>
        <w:autoSpaceDE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</w:pPr>
      <w:bookmarkStart w:id="24" w:name="_Toc77790732"/>
      <w:bookmarkStart w:id="25" w:name="_Toc76626227"/>
      <w:bookmarkStart w:id="26" w:name="_Toc81239916"/>
      <w:bookmarkStart w:id="27" w:name="_Toc81210465"/>
      <w:r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  <w:t>附图</w:t>
      </w:r>
      <w:bookmarkEnd w:id="24"/>
      <w:bookmarkEnd w:id="25"/>
      <w:bookmarkEnd w:id="26"/>
      <w:bookmarkEnd w:id="27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1.建（构）筑物平面分布图（含拐点坐标）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2.建设项目查询范围、评估范围、用地范围与探矿权、采矿权、矿产地范围关系图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3.压覆资源储量估算图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4.建设项目压覆资源储量估算范围代表性地质剖面图</w:t>
      </w:r>
    </w:p>
    <w:p>
      <w:pPr>
        <w:widowControl/>
        <w:tabs>
          <w:tab w:val="left" w:pos="360"/>
        </w:tabs>
        <w:overflowPunct w:val="0"/>
        <w:autoSpaceDE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</w:pPr>
      <w:bookmarkStart w:id="28" w:name="_Toc81239917"/>
      <w:bookmarkStart w:id="29" w:name="_Toc81210466"/>
      <w:r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  <w:t>附表</w:t>
      </w:r>
      <w:bookmarkEnd w:id="28"/>
      <w:bookmarkEnd w:id="29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1.建设项目用地范围坐标表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2.建设项目查询范围坐标表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3.建设项目评估范围坐标表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4.建设项目压覆资源储量估算范围坐标表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5.测量成果表（必要时）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6.压覆矿产资源储量估算表。</w:t>
      </w:r>
    </w:p>
    <w:p>
      <w:pPr>
        <w:widowControl/>
        <w:tabs>
          <w:tab w:val="left" w:pos="360"/>
        </w:tabs>
        <w:overflowPunct w:val="0"/>
        <w:autoSpaceDE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</w:pPr>
      <w:bookmarkStart w:id="30" w:name="_Toc76626228"/>
      <w:bookmarkStart w:id="31" w:name="_Toc81210467"/>
      <w:bookmarkStart w:id="32" w:name="_Toc81239918"/>
      <w:bookmarkStart w:id="33" w:name="_Toc77790733"/>
      <w:r>
        <w:rPr>
          <w:rFonts w:hint="default" w:ascii="Times New Roman" w:hAnsi="Times New Roman" w:eastAsia="黑体" w:cs="Times New Roman"/>
          <w:color w:val="000000"/>
          <w:kern w:val="21"/>
          <w:sz w:val="32"/>
          <w:szCs w:val="32"/>
          <w:highlight w:val="none"/>
        </w:rPr>
        <w:t>附件</w:t>
      </w:r>
      <w:bookmarkEnd w:id="30"/>
      <w:bookmarkEnd w:id="31"/>
      <w:bookmarkEnd w:id="32"/>
      <w:bookmarkEnd w:id="33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1.建设项目压覆矿产资源查询表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2.建设项目批准（备案、批复）等文件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3.建设单位承诺书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4.编制压覆评估报告委托书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5.建设单位与矿业权人签订的补偿协议（意向性协议）或建设项目所在地市、县人民政府出具的做好压矿补偿工作的承诺书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6.引用地质报告、图、文、表及相关评审（备案、审批、认定）文件</w:t>
      </w:r>
    </w:p>
    <w:bookmarkEnd w:id="0"/>
    <w:p>
      <w:pPr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</w:p>
    <w:p>
      <w:pPr>
        <w:ind w:left="210" w:leftChars="100" w:right="210" w:rightChars="100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  <w:highlight w:val="none"/>
        </w:rPr>
      </w:pPr>
    </w:p>
    <w:bookmarkEnd w:id="1"/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3680" w:firstLineChars="11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</w:rPr>
      </w:pPr>
      <w:bookmarkStart w:id="34" w:name="F_Pdf417"/>
      <w:bookmarkEnd w:id="34"/>
    </w:p>
    <w:sectPr>
      <w:footerReference r:id="rId3" w:type="default"/>
      <w:footerReference r:id="rId4" w:type="even"/>
      <w:pgSz w:w="11906" w:h="16838"/>
      <w:pgMar w:top="1814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210" w:leftChars="100" w:right="210" w:rightChars="100"/>
      <w:rPr>
        <w:rStyle w:val="13"/>
        <w:sz w:val="28"/>
        <w:szCs w:val="28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  <w:lang/>
      </w:rPr>
      <w:t>2</w:t>
    </w:r>
    <w:r>
      <w:rPr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25"/>
    <w:rsid w:val="00037AEC"/>
    <w:rsid w:val="0004569A"/>
    <w:rsid w:val="000600C1"/>
    <w:rsid w:val="000644BD"/>
    <w:rsid w:val="000A705C"/>
    <w:rsid w:val="000C2F9F"/>
    <w:rsid w:val="000F055D"/>
    <w:rsid w:val="0011108A"/>
    <w:rsid w:val="0013168A"/>
    <w:rsid w:val="00157701"/>
    <w:rsid w:val="00177361"/>
    <w:rsid w:val="001C153E"/>
    <w:rsid w:val="001E73CF"/>
    <w:rsid w:val="00207362"/>
    <w:rsid w:val="00236451"/>
    <w:rsid w:val="0025487E"/>
    <w:rsid w:val="00282E6C"/>
    <w:rsid w:val="00296634"/>
    <w:rsid w:val="00297F0A"/>
    <w:rsid w:val="002A3E27"/>
    <w:rsid w:val="002C5625"/>
    <w:rsid w:val="002D5A8E"/>
    <w:rsid w:val="00317E5C"/>
    <w:rsid w:val="0034426E"/>
    <w:rsid w:val="003658EE"/>
    <w:rsid w:val="00366B7F"/>
    <w:rsid w:val="003D2340"/>
    <w:rsid w:val="00402D7D"/>
    <w:rsid w:val="00434F9C"/>
    <w:rsid w:val="0046550D"/>
    <w:rsid w:val="00472456"/>
    <w:rsid w:val="00486C09"/>
    <w:rsid w:val="004A5E2C"/>
    <w:rsid w:val="004C1FE3"/>
    <w:rsid w:val="004C5DE5"/>
    <w:rsid w:val="00545262"/>
    <w:rsid w:val="005477F4"/>
    <w:rsid w:val="00562CEE"/>
    <w:rsid w:val="0057311A"/>
    <w:rsid w:val="00596FA8"/>
    <w:rsid w:val="00605D3A"/>
    <w:rsid w:val="0064596F"/>
    <w:rsid w:val="00694CE7"/>
    <w:rsid w:val="00711B0B"/>
    <w:rsid w:val="00765B50"/>
    <w:rsid w:val="007723F2"/>
    <w:rsid w:val="00792FE5"/>
    <w:rsid w:val="00793F04"/>
    <w:rsid w:val="00822890"/>
    <w:rsid w:val="00835BDD"/>
    <w:rsid w:val="00843451"/>
    <w:rsid w:val="00862FC2"/>
    <w:rsid w:val="00881650"/>
    <w:rsid w:val="008D75BE"/>
    <w:rsid w:val="009303D9"/>
    <w:rsid w:val="00973343"/>
    <w:rsid w:val="00976DEB"/>
    <w:rsid w:val="00997477"/>
    <w:rsid w:val="009A5578"/>
    <w:rsid w:val="009A785D"/>
    <w:rsid w:val="009F360D"/>
    <w:rsid w:val="00A661D1"/>
    <w:rsid w:val="00A74018"/>
    <w:rsid w:val="00A902E7"/>
    <w:rsid w:val="00A949F3"/>
    <w:rsid w:val="00AD543B"/>
    <w:rsid w:val="00AD6749"/>
    <w:rsid w:val="00AF61AF"/>
    <w:rsid w:val="00B26E7A"/>
    <w:rsid w:val="00B37091"/>
    <w:rsid w:val="00B468E7"/>
    <w:rsid w:val="00BA7C82"/>
    <w:rsid w:val="00BE08D8"/>
    <w:rsid w:val="00C27D65"/>
    <w:rsid w:val="00C40AB4"/>
    <w:rsid w:val="00C433FA"/>
    <w:rsid w:val="00C81B2D"/>
    <w:rsid w:val="00CA33E2"/>
    <w:rsid w:val="00CB0C7E"/>
    <w:rsid w:val="00D011E6"/>
    <w:rsid w:val="00D11E22"/>
    <w:rsid w:val="00D24E63"/>
    <w:rsid w:val="00D40262"/>
    <w:rsid w:val="00D570B2"/>
    <w:rsid w:val="00D95146"/>
    <w:rsid w:val="00DC3CAB"/>
    <w:rsid w:val="00DD0DEE"/>
    <w:rsid w:val="00E04498"/>
    <w:rsid w:val="00E05558"/>
    <w:rsid w:val="00E40BAF"/>
    <w:rsid w:val="00E80A61"/>
    <w:rsid w:val="00E8617B"/>
    <w:rsid w:val="00EA41B6"/>
    <w:rsid w:val="00EF5DB5"/>
    <w:rsid w:val="00F21661"/>
    <w:rsid w:val="00F63DA3"/>
    <w:rsid w:val="00F95351"/>
    <w:rsid w:val="00FC28A0"/>
    <w:rsid w:val="2BB0608B"/>
    <w:rsid w:val="33E9DD6E"/>
    <w:rsid w:val="3DFE6E40"/>
    <w:rsid w:val="3EDF21F6"/>
    <w:rsid w:val="5FDB41A4"/>
    <w:rsid w:val="62BF6A6B"/>
    <w:rsid w:val="657F2AD3"/>
    <w:rsid w:val="6B58BDD0"/>
    <w:rsid w:val="6EFAA795"/>
    <w:rsid w:val="72D79984"/>
    <w:rsid w:val="77BF0AE2"/>
    <w:rsid w:val="7B9CF3CB"/>
    <w:rsid w:val="7BFFBB44"/>
    <w:rsid w:val="7C97E8F7"/>
    <w:rsid w:val="7EFFB15A"/>
    <w:rsid w:val="7F5F0103"/>
    <w:rsid w:val="7FBB697F"/>
    <w:rsid w:val="7FED87D8"/>
    <w:rsid w:val="7FEFCA95"/>
    <w:rsid w:val="7FFCECDE"/>
    <w:rsid w:val="7FFDBDB1"/>
    <w:rsid w:val="8EFEA1E0"/>
    <w:rsid w:val="A7AF374E"/>
    <w:rsid w:val="A7BEA38A"/>
    <w:rsid w:val="BB8FDD0C"/>
    <w:rsid w:val="C2BFE42E"/>
    <w:rsid w:val="E9DDD4CD"/>
    <w:rsid w:val="EFCD571D"/>
    <w:rsid w:val="F778819B"/>
    <w:rsid w:val="FBF2A67F"/>
    <w:rsid w:val="FC6D9268"/>
    <w:rsid w:val="FD6FA7B7"/>
    <w:rsid w:val="FDBD0152"/>
    <w:rsid w:val="FDD68714"/>
    <w:rsid w:val="FED66F24"/>
    <w:rsid w:val="FF7F7FF5"/>
    <w:rsid w:val="FFF57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next w:val="4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4"/>
    <w:basedOn w:val="1"/>
    <w:next w:val="1"/>
    <w:qFormat/>
    <w:uiPriority w:val="0"/>
    <w:pPr>
      <w:ind w:left="1260"/>
    </w:p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仿宋_GB2312"/>
      <w:sz w:val="3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paragraph" w:customStyle="1" w:styleId="14">
    <w:name w:val="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15">
    <w:name w:val="Char Char1 Char"/>
    <w:basedOn w:val="1"/>
    <w:uiPriority w:val="0"/>
    <w:pPr>
      <w:ind w:firstLine="200" w:firstLineChars="200"/>
    </w:pPr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288</Characters>
  <Lines>2</Lines>
  <Paragraphs>1</Paragraphs>
  <TotalTime>9</TotalTime>
  <ScaleCrop>false</ScaleCrop>
  <LinksUpToDate>false</LinksUpToDate>
  <CharactersWithSpaces>337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2008-11-06T16:06:00Z</dcterms:created>
  <dc:creator>ddd</dc:creator>
  <cp:lastModifiedBy>蒙盈盈</cp:lastModifiedBy>
  <cp:lastPrinted>2024-01-06T00:26:51Z</cp:lastPrinted>
  <dcterms:modified xsi:type="dcterms:W3CDTF">2024-01-09T17:40:38Z</dcterms:modified>
  <dc:title>关于调整自治区农村征地问题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