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5C" w:rsidRDefault="004932E4" w:rsidP="006A2F5C">
      <w:pPr>
        <w:pStyle w:val="1"/>
        <w:spacing w:before="0" w:after="0" w:line="560" w:lineRule="exact"/>
        <w:jc w:val="left"/>
        <w:rPr>
          <w:rFonts w:ascii="黑体" w:eastAsia="黑体" w:hAnsi="黑体" w:cs="黑体" w:hint="eastAsia"/>
          <w:b w:val="0"/>
          <w:sz w:val="32"/>
          <w:szCs w:val="32"/>
        </w:rPr>
      </w:pPr>
      <w:bookmarkStart w:id="0" w:name="_Toc11335"/>
      <w:r>
        <w:rPr>
          <w:rFonts w:ascii="黑体" w:eastAsia="黑体" w:hAnsi="黑体" w:cs="黑体"/>
          <w:b w:val="0"/>
          <w:sz w:val="32"/>
          <w:szCs w:val="32"/>
        </w:rPr>
        <w:t>附件</w:t>
      </w:r>
      <w:r>
        <w:rPr>
          <w:rFonts w:ascii="黑体" w:eastAsia="黑体" w:hAnsi="黑体" w:cs="黑体" w:hint="eastAsia"/>
          <w:b w:val="0"/>
          <w:sz w:val="32"/>
          <w:szCs w:val="32"/>
        </w:rPr>
        <w:t>3</w:t>
      </w:r>
      <w:r>
        <w:rPr>
          <w:rFonts w:ascii="黑体" w:eastAsia="黑体" w:hAnsi="黑体" w:cs="黑体"/>
          <w:b w:val="0"/>
          <w:sz w:val="32"/>
          <w:szCs w:val="32"/>
        </w:rPr>
        <w:t xml:space="preserve"> </w:t>
      </w:r>
    </w:p>
    <w:p w:rsidR="006A2F5C" w:rsidRDefault="006A2F5C" w:rsidP="00336A48">
      <w:pPr>
        <w:pStyle w:val="1"/>
        <w:spacing w:before="0" w:after="0" w:line="560" w:lineRule="exact"/>
        <w:jc w:val="center"/>
        <w:rPr>
          <w:rFonts w:ascii="黑体" w:eastAsia="黑体" w:hAnsi="黑体" w:cs="黑体" w:hint="eastAsia"/>
          <w:b w:val="0"/>
          <w:sz w:val="32"/>
          <w:szCs w:val="32"/>
        </w:rPr>
      </w:pPr>
    </w:p>
    <w:p w:rsidR="009C346C" w:rsidRDefault="004932E4" w:rsidP="00336A48">
      <w:pPr>
        <w:pStyle w:val="1"/>
        <w:spacing w:before="0" w:after="0" w:line="560" w:lineRule="exact"/>
        <w:jc w:val="center"/>
        <w:rPr>
          <w:rFonts w:ascii="黑体" w:eastAsia="黑体" w:hAnsi="黑体" w:cs="黑体" w:hint="eastAsia"/>
          <w:b w:val="0"/>
          <w:sz w:val="32"/>
          <w:szCs w:val="32"/>
        </w:rPr>
      </w:pPr>
      <w:r>
        <w:rPr>
          <w:rFonts w:ascii="黑体" w:eastAsia="黑体" w:hAnsi="黑体" w:cs="黑体"/>
          <w:b w:val="0"/>
          <w:sz w:val="32"/>
          <w:szCs w:val="32"/>
        </w:rPr>
        <w:t>202</w:t>
      </w:r>
      <w:r>
        <w:rPr>
          <w:rFonts w:ascii="黑体" w:eastAsia="黑体" w:hAnsi="黑体" w:cs="黑体" w:hint="eastAsia"/>
          <w:b w:val="0"/>
          <w:sz w:val="32"/>
          <w:szCs w:val="32"/>
        </w:rPr>
        <w:t>4</w:t>
      </w:r>
      <w:r>
        <w:rPr>
          <w:rFonts w:ascii="黑体" w:eastAsia="黑体" w:hAnsi="黑体" w:cs="黑体"/>
          <w:b w:val="0"/>
          <w:sz w:val="32"/>
          <w:szCs w:val="32"/>
        </w:rPr>
        <w:t>年</w:t>
      </w:r>
      <w:r>
        <w:rPr>
          <w:rFonts w:ascii="黑体" w:eastAsia="黑体" w:hAnsi="黑体" w:cs="黑体" w:hint="eastAsia"/>
          <w:b w:val="0"/>
          <w:sz w:val="32"/>
          <w:szCs w:val="32"/>
        </w:rPr>
        <w:t>自治区级</w:t>
      </w:r>
      <w:r>
        <w:rPr>
          <w:rFonts w:ascii="黑体" w:eastAsia="黑体" w:hAnsi="黑体" w:cs="黑体"/>
          <w:b w:val="0"/>
          <w:sz w:val="32"/>
          <w:szCs w:val="32"/>
        </w:rPr>
        <w:t>测绘资质单位监督检查</w:t>
      </w:r>
      <w:r>
        <w:rPr>
          <w:rFonts w:ascii="黑体" w:eastAsia="黑体" w:hAnsi="黑体" w:cs="黑体" w:hint="eastAsia"/>
          <w:b w:val="0"/>
          <w:sz w:val="32"/>
          <w:szCs w:val="32"/>
        </w:rPr>
        <w:t>——安全生产检查结果</w:t>
      </w:r>
      <w:r>
        <w:rPr>
          <w:rFonts w:ascii="黑体" w:eastAsia="黑体" w:hAnsi="黑体" w:cs="黑体"/>
          <w:b w:val="0"/>
          <w:sz w:val="32"/>
          <w:szCs w:val="32"/>
        </w:rPr>
        <w:t>表</w:t>
      </w:r>
      <w:bookmarkEnd w:id="0"/>
    </w:p>
    <w:p w:rsidR="006A2F5C" w:rsidRPr="006A2F5C" w:rsidRDefault="006A2F5C" w:rsidP="006A2F5C"/>
    <w:tbl>
      <w:tblPr>
        <w:tblW w:w="139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2117"/>
        <w:gridCol w:w="1117"/>
        <w:gridCol w:w="2350"/>
        <w:gridCol w:w="2166"/>
        <w:gridCol w:w="2064"/>
        <w:gridCol w:w="1339"/>
        <w:gridCol w:w="1343"/>
        <w:gridCol w:w="722"/>
      </w:tblGrid>
      <w:tr w:rsidR="009C346C" w:rsidTr="006A2F5C">
        <w:trPr>
          <w:cantSplit/>
          <w:trHeight w:val="810"/>
          <w:tblHeader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检查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编号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资质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等级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安全生产制度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安全生产责任制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安全生产事故报告及处理办法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安全知识</w:t>
            </w:r>
          </w:p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培训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安全生产</w:t>
            </w:r>
          </w:p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配备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JD2024001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广西北斗星测绘集团有限公司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广西壮族自治区自然资源调查监测院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河池市规划勘察测绘院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  <w:bookmarkStart w:id="1" w:name="_GoBack"/>
            <w:bookmarkEnd w:id="1"/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1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广西城规勘测科技有限公司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缺少安全生产风险排查内容、安全生产培训教育内容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广西华蓝岩土工程有限公司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柳州市勘察测绘研究院有限公司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广西华遥空间信息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广西壮族自治区自然资源信息中心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桂林市国土资源规划测绘院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部分药品、灭火器过期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广西国土资源规划设计集团有限公司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广西交通设计集团有限公司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06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贺州市自然资源测绘地理信息规划院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甲级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制度制定不完善，缺少管理部分内容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柳州中元市政工程设计有限公司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消防设备较少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柳州市柳江区国土勘察测绘所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柳州市华宇房地产测绘有限公司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广西水文地质工程地质勘察院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广西双银地理测绘有限公司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桂林市水利电力勘测设计研究院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未配备必要的急救药品、安全生产设备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广西壮族自治区区域地质调查研究院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广西华信工程咨询有限公司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培训记录不完善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广西壮族自治区桂林水文工程地质勘察院有限公司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广西壮族自治区二七一地质队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6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广西华南物探工程勘察有限公司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工作环境不整洁，电线搭设混乱，存在一定安全隐患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3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广西联云项目管理有限公司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安全生产管理制度内容不全，缺少内业管理方面的要求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各级岗位安全生产职责未明确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事故处理办法未根据公司实际情况编制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未配备必要的急救药品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广西南宁兴业星顺农业科技有限公司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广西图洲科技发展有限公司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未落实单位第一责任人制度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广西新桂环保科技集团有限公司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4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广西云朔建设工程有限公司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未落实单位一把手为第一责任人、分管领导具体负责责任制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46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JD2024029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广西智绘南北科技有限公司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未落实单位一把手为第一责任人、分管领导具体负责责任制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急救药品、安全生产设备配备不全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广西瞰景科技有限责任公司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注销</w:t>
            </w: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建测建设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工程质量检测有限公司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急救药品配备不全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南宁市田润测绘有限公司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未明确各级岗位安全生产工作职责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培训记录不完整，未能体现培训内容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广西安盛建设工程检测咨询有限公司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广西南方信创科技有限公司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广西农垦设计院有限公司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缺少安全生产教育培训内容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广西启航工程技术服务有限公司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6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广西兆伟地质工程有限公司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未配备必要的急救药品、灭火器，用车审批程序不完善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广西正宇工程咨询有限公司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部分内容不符合实际运行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18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JD2024039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广西中扬基础工程有限公司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未明确单位一把手为第一责任人、各级岗位人员安全生产责任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安全生产设备配备不全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广西壮族自治区城乡规划设计院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广西产研院时空信息技术研究所有限公司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未明确各级岗位人员安全生产责任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6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广西科烁工程咨询有限公司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部分内容不符合实际运行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未明确单位一把手为第一责任人、各级岗位人员安全生产责任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安全生产设备配备不全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27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广西中云土地规划设计有限公司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制度缺少管理内容，偏向于操作手册；存在较多无关内容，如质量管理、仪器使用及保管等占了较大篇幅，而作为核心内容的安全生产责任制等未见体现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6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广西环祥工程咨询有限公司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未配备急救药品、灭火设备，现场作业区用电不规范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广西创城工程技术有限责任公司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JD2024046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广西地龙岩土工程有限公司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内容不完善：缺少内业安全生产管理内容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广西冠邦勘测设计有限公司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用车审批程序未完善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广西锦地测绘科技有限公司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急救药品、安全生产设备配备不全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百色市右江区国土测绘信息中心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安全生产设备配备不全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广西荣攀工程咨询有限公司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办公场所用电不规范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贵港市顶峰测绘有限公司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广西壮族自治区第六地质队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JD2024053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贵港市蓝星测绘有限公司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JD2024054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广西硅谷建设集团测绘有限公司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JD2024055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广西君达测绘科技有限公司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JD2024056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梧州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市广策房地产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测绘有限责任公司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灭火器放置位置不宜办公场所拿取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JD2024057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广西梧州市正源工程检测咨询有限公司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制度缺少管理内容，偏向于操作手册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JD2024058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广西吉力勘测设计有限公司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JD2024059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广西翼界科技有限公司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未执行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相关药品已过期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JD2024060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广西贺测建筑劳务有限公司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注销</w:t>
            </w: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JD2024061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贺州市勘察测绘研究院有限公司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未配备“蛇药”、“防暑药”等急救物品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JD2024062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北流市伟业国土规划室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应急救援预案不完善，只有野外作业应急预案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未组织开展应急演练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JD2024063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广西田园都市设计有限公司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JD2024064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蓝图专业技术服务有限公司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未落实单位一把手为第一责任人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JD2024065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广西至胜测绘有限公司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JD2024066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广西采南测绘工程咨询有限公司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未落实安全生产责任人责任制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未根据作业情况配备急救药品。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JD2024067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广西金科勘测规划设计有限公司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JD2024068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广西晟丰测绘有限公司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JD2024069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东兴市国土资源勘测规划所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121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JD2024070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防城港市港口区土地征收储备中心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内业消防设施、外业配备不齐全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JD2024071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巴马精诚测绘地理信息科技有限公司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未建立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执行良好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JD2024072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广西大江测绘有限公司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注销</w:t>
            </w:r>
          </w:p>
        </w:tc>
      </w:tr>
      <w:tr w:rsidR="009C346C" w:rsidTr="006A2F5C">
        <w:trPr>
          <w:cantSplit/>
          <w:trHeight w:val="8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JD2024073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广西科大测绘有限公司</w:t>
            </w:r>
          </w:p>
        </w:tc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乙级</w:t>
            </w:r>
          </w:p>
        </w:tc>
        <w:tc>
          <w:tcPr>
            <w:tcW w:w="2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已制定</w:t>
            </w:r>
          </w:p>
        </w:tc>
        <w:tc>
          <w:tcPr>
            <w:tcW w:w="1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培训执行较少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4932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基本齐全</w:t>
            </w:r>
          </w:p>
        </w:tc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C346C" w:rsidRDefault="009C346C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</w:tbl>
    <w:p w:rsidR="009C346C" w:rsidRDefault="009C346C"/>
    <w:sectPr w:rsidR="009C346C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98" w:rsidRDefault="008C7E98">
      <w:r>
        <w:separator/>
      </w:r>
    </w:p>
  </w:endnote>
  <w:endnote w:type="continuationSeparator" w:id="0">
    <w:p w:rsidR="008C7E98" w:rsidRDefault="008C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6C" w:rsidRDefault="004932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346C" w:rsidRDefault="004932E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A2F5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C346C" w:rsidRDefault="004932E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A2F5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98" w:rsidRDefault="008C7E98">
      <w:r>
        <w:separator/>
      </w:r>
    </w:p>
  </w:footnote>
  <w:footnote w:type="continuationSeparator" w:id="0">
    <w:p w:rsidR="008C7E98" w:rsidRDefault="008C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B5BA4"/>
    <w:rsid w:val="00336A48"/>
    <w:rsid w:val="004932E4"/>
    <w:rsid w:val="006A2F5C"/>
    <w:rsid w:val="008C7E98"/>
    <w:rsid w:val="009C346C"/>
    <w:rsid w:val="207C6C46"/>
    <w:rsid w:val="23257923"/>
    <w:rsid w:val="5FF97727"/>
    <w:rsid w:val="78243E3D"/>
    <w:rsid w:val="7BE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李丽琴</cp:lastModifiedBy>
  <cp:revision>3</cp:revision>
  <dcterms:created xsi:type="dcterms:W3CDTF">2025-02-18T06:00:00Z</dcterms:created>
  <dcterms:modified xsi:type="dcterms:W3CDTF">2025-02-27T01:29:00Z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